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Fehleranalyse der vorhandenen Klageschrift vom 25.07.2025</w:t>
      </w:r>
    </w:p>
    <w:p>
      <w:pPr>
        <w:pStyle w:val="Heading2"/>
      </w:pPr>
      <w:r>
        <w:rPr>
          <w:rFonts w:ascii="Times New Roman" w:hAnsi="Times New Roman"/>
        </w:rPr>
        <w:t>Schwerster Fehler</w:t>
      </w:r>
    </w:p>
    <w:p>
      <w:pPr>
        <w:jc w:val="left"/>
      </w:pPr>
      <w:r>
        <w:t>Die Klage nimmt die Hauptforderung von 698,00 EUR weiter in den Zahlungsantrag auf. Nach Aktenlage war dieser Betrag am 26.06.2025 bezahlt und intern spätestens am 01.07.2025 bekannt. Die Klage wurde erst am 25.07.2025 gefertigt.</w:t>
      </w:r>
    </w:p>
    <w:p>
      <w:pPr>
        <w:pStyle w:val="Heading2"/>
      </w:pPr>
      <w:r>
        <w:rPr>
          <w:rFonts w:ascii="Times New Roman" w:hAnsi="Times New Roman"/>
        </w:rPr>
        <w:t>Weitere Risiken</w:t>
      </w:r>
    </w:p>
    <w:p>
      <w:pPr>
        <w:pStyle w:val="ListBullet"/>
      </w:pPr>
      <w:r>
        <w:t>Streitwert wird durch erledigte Hauptforderung künstlich erhöht.</w:t>
      </w:r>
    </w:p>
    <w:p>
      <w:pPr>
        <w:pStyle w:val="ListBullet"/>
      </w:pPr>
      <w:r>
        <w:t>Nebenforderungen werden nicht sauber vom erledigten Hauptanspruch getrennt.</w:t>
      </w:r>
    </w:p>
    <w:p>
      <w:pPr>
        <w:pStyle w:val="ListBullet"/>
      </w:pPr>
      <w:r>
        <w:t>§ 93 ZPO und Kostenrisiko bei sofortigem Anerkenntnis werden nicht sichtbar gewürdigt.</w:t>
      </w:r>
    </w:p>
    <w:p>
      <w:pPr>
        <w:pStyle w:val="ListBullet"/>
      </w:pPr>
      <w:r>
        <w:t>Beklagtenadresse muss nach Umzug geprüft werden.</w:t>
      </w:r>
    </w:p>
    <w:p>
      <w:pPr>
        <w:pStyle w:val="ListBullet"/>
      </w:pPr>
      <w:r>
        <w:t>Die Nebenforderungen werden als Paket dargestellt, obwohl Mahnkosten, Zinsen und Inkassokosten getrennte Voraussetzungen haben.</w:t>
      </w:r>
    </w:p>
    <w:p>
      <w:pPr>
        <w:pStyle w:val="Heading2"/>
      </w:pPr>
      <w:r>
        <w:rPr>
          <w:rFonts w:ascii="Times New Roman" w:hAnsi="Times New Roman"/>
        </w:rPr>
        <w:t>Korrektur</w:t>
      </w:r>
    </w:p>
    <w:p>
      <w:pPr>
        <w:jc w:val="left"/>
      </w:pPr>
      <w:r>
        <w:t>Die Hauptforderung wird gestrichen. Die Nebenforderungen werden isoliert geprüft. Wenn keine klare Freigabe erfolgt, soll keine Klage erstellt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