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der Bauoberleitung</w:t>
      </w:r>
    </w:p>
    <w:p>
      <w:pPr>
        <w:jc w:val="left"/>
      </w:pPr>
      <w:r>
        <w:t>Projekt A 44, Ersatzneubau Talbrücke Fuchsbachtal und Tunnel, Bauoberleitung Rother + Partner. Vermerk Dilthey, 7. Juli 2026, 8:35 bis 9:10 Uhr. Gesprächspartner: Herr Cieslik, technischer Bauleiter der ARGE Mittelgebirge, zeitweise zugeschaltet Herr Prante, Kalkulation der ARGE. Anlass: Rückruf der ARGE zur Behinderungsanzeige B-01 (Quellhorizont Portal West) und zum Nachtragsangebot N01.</w:t>
      </w:r>
    </w:p>
    <w:p>
      <w:pPr>
        <w:jc w:val="left"/>
      </w:pPr>
      <w:r>
        <w:t>1 Angaben der ARGE zur Lage vor Ort</w:t>
      </w:r>
    </w:p>
    <w:p>
      <w:pPr>
        <w:jc w:val="left"/>
      </w:pPr>
      <w:r>
        <w:t>Herr Cieslik berichtete, der Wasserandrang im Bereich Station T 0+118 bis T 0+146 liege nach den Messungen vom Wochenende weiter zwischen 29 und 34 l/s. Die zusätzlich angemietete Pumpenkapazität (zwei Aggregate, angeliefert am 26. Juni 2026) sei bis zum 15. Juli 2026 gemietet; eine Verlängerung müsse bis zum 10. Juli 2026 ausgelöst werden. Der bestellte Lamellenklärer habe nach Auskunft des Lieferanten eine Lieferzeit von vier Wochen ab Bestellung. Die Mannschaft des Voreinschnitts sei seit dem 30. Juni 2026 zu etwa der Hälfte auf andere Bereiche umgesetzt, der Rest halte die Wasserhaltung aufrecht. Die Vorhaltekosten bezifferte Herr Prante mit rund 8.400 Euro je Woche für Geräte zuzüglich Personal; eine prüffähige Aufgliederung nach Geräteliste und Stunden sagte er bis zum 10. Juli 2026 zu, ebenso die noch offene Terminunterlage TP-06.</w:t>
      </w:r>
    </w:p>
    <w:p>
      <w:pPr>
        <w:jc w:val="left"/>
      </w:pPr>
      <w:r>
        <w:t>2 Forderung der ARGE</w:t>
      </w:r>
    </w:p>
    <w:p>
      <w:pPr>
        <w:jc w:val="left"/>
      </w:pPr>
      <w:r>
        <w:t>Herr Cieslik erklärte, die ARGE werde die Arbeiten am Voreinschnitt nicht wieder aufnehmen, bevor eine schriftliche Anordnung zur geänderten Wasserhaltung vorliege. Ohne Anordnung bis Freitag, den 10. Juli 2026, 12:00 Uhr, werde die ARGE die Pumpenmiete nicht verlängern und den Stillstand ab dem 15. Juli 2026 vollständig der Auftraggeberseite zuordnen. Auf meinen Hinweis, dass für den Lamellenklärer bisher kein Drittangebot vorliegt, sagte Herr Prante zu, zwei Vergleichsangebote nachzureichen; er wies zugleich darauf hin, dass ein Anbieter davon erst ab Kalenderwoche 38 liefern könne.</w:t>
      </w:r>
    </w:p>
    <w:p>
      <w:pPr>
        <w:jc w:val="left"/>
      </w:pPr>
      <w:r>
        <w:t>3 Weiteres Vorgehen</w:t>
      </w:r>
    </w:p>
    <w:p>
      <w:pPr>
        <w:jc w:val="left"/>
      </w:pPr>
      <w:r>
        <w:t>Ich habe mitgeteilt, dass die Entscheidung über eine Anordnung beim Bauherrn liegt und die Bauoberleitung die Unterlagen nach Eingang unverzüglich weiterleitet. Termin vor Ort mit Bauherr, ARGE und Gutachter am 9. Juli 2026, 10:00 Uhr am Portal West, ist vereinbart. Herr Vollbrecht (Projektleitung Autobahnverwaltung) ist telefonisch vorab unterrichtet und hat um Übersendung dieses Vermerks noch heute gebeten. Wiedervorlage: 9. Juli 2026.</w:t>
      </w:r>
    </w:p>
    <w:p>
      <w:pPr>
        <w:jc w:val="left"/>
      </w:pPr>
      <w:r>
        <w:t>gez. Dilthey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