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Berufsgenossenschaft, Sachstand nach Widerspruch</w:t>
      </w:r>
    </w:p>
    <w:p>
      <w:pPr>
        <w:jc w:val="left"/>
      </w:pPr>
      <w:r>
        <w:t>Kanzlei Am Wall, Bremen</w:t>
      </w:r>
    </w:p>
    <w:p>
      <w:pPr>
        <w:jc w:val="left"/>
      </w:pPr>
      <w:r>
        <w:t>Vermerk vom 15. Juli 2026, 11:40 Uhr, gefertigt vom Sekretariat nach Diktat</w:t>
      </w:r>
    </w:p>
    <w:p>
      <w:pPr>
        <w:jc w:val="left"/>
      </w:pPr>
      <w:r>
        <w:t>Gespräch mit der Bezirksverwaltung Bremen der Berufsgenossenschaft, Herr Wienecke, Sachgebiet Berufskrankheiten, Dauer etwa zwölf Minuten.</w:t>
      </w:r>
    </w:p>
    <w:p>
      <w:pPr>
        <w:jc w:val="left"/>
      </w:pPr>
      <w:r>
        <w:t>Herr Wienecke bestätigte den Eingang des Widerspruchs gegen den Bescheid vom 24.06.2026. Der Vorgang liege jetzt beim Widerspruchssachgebiet; eine Vorlage an den Widerspruchsausschuss sei noch nicht terminiert. Auf den Hinweis, dass die Zeugenliste, die Expositionsmatrix und die Unterlagen des Betriebsarchivs erst nach der Ablehnung eingegangen seien, sagte er, die nachgereichten Unterlagen würden dem Präventionsdienst zur ergänzenden arbeitstechnischen Stellungnahme zugeleitet. Einen Zeitrahmen wollte er nicht nennen; erfahrungsgemäß dauere die arbeitstechnische Nachermittlung bei Werftfällen mehrere Monate, weil Archivbestände und frühere Kollegen angefragt werden müssten.</w:t>
      </w:r>
    </w:p>
    <w:p>
      <w:pPr>
        <w:jc w:val="left"/>
      </w:pPr>
      <w:r>
        <w:t>Zur medizinischen Seite erklärte Herr Wienecke, eine erneute Zusammenhangsbegutachtung sei noch nicht beauftragt. Er nehme aber in die Akte auf, dass der Klinikbefund vom 17.04.2026 vollständig vorliege und dass die Kanzlei auf die pleuralen Plaques als Brückenbefund hingewiesen habe. Ob der Widerspruchsausschuss vor der Nachermittlung entscheide, konnte er nicht sagen.</w:t>
      </w:r>
    </w:p>
    <w:p>
      <w:pPr>
        <w:jc w:val="left"/>
      </w:pPr>
      <w:r>
        <w:t>Auf die Bitte, das Verfahren wegen des Gesundheitszustands des Versicherten vorrangig zu bearbeiten, verwies er auf die interne Kennzeichnung als Eilfall bei palliativer Situation; hierfür benötige die BG eine kurze ärztliche Bestätigung des aktuellen Zustands. Diese soll über Frau Harms bei der Klinik angefordert werden.</w:t>
      </w:r>
    </w:p>
    <w:p>
      <w:pPr>
        <w:jc w:val="left"/>
      </w:pPr>
      <w:r>
        <w:t>Weiteres Vorgehen: ärztliche Kurzbestätigung anfordern, Eingang der Stellungnahme des Präventionsdienstes überwachen, Wiedervorlage 17.08.2026.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