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Musterholding GmbH, Geldwäschebeauftragter, Gutleutstraße 44, 60329 Frankfurt am Main</w:t>
      </w:r>
    </w:p>
    <w:p>
      <w:pPr>
        <w:jc w:val="left"/>
      </w:pPr>
      <w:r>
        <w:t>Vermerk gefertigt von Thomas Eckhardt am 22. Mai 2026, 11:20 Uhr. Telefonat mit Frau Verena Klodt, AML-Monitoring der Deutschen Handelsbank AG, am 22. Mai 2026, 10:35 bis 10:58 Uhr. Bezug: Eingang vom 20. Mai 2026 über 480000 Euro auf dem Geschäftskonto DE44 5004 0000 0517 8837 00.</w:t>
      </w:r>
    </w:p>
    <w:p>
      <w:pPr>
        <w:jc w:val="left"/>
      </w:pPr>
      <w:r>
        <w:t>1 Anlass</w:t>
      </w:r>
    </w:p>
    <w:p>
      <w:pPr>
        <w:jc w:val="left"/>
      </w:pPr>
      <w:r>
        <w:t>Frau Klodt rief an, weil das Transaktionsmonitoring der Bank den Eingang vom 20. Mai 2026 über 480000 Euro von der Carpathian Consulting LLC angezeigt hat. Auftraggeberin der Überweisung ist nach den Angaben der Bank die Carpathian Consulting LLC mit Registeradresse in Wilmington, Delaware, ausgeführt über eine Korrespondenzbank in Wien. Als Verwendungszweck ist "Vorauszahlung Distributorvertrag" angegeben. Frau Klodt wies darauf hin, dass der Verwendungszweck auf den Vertrag mit der Danube Trade Solutions SRL hindeute, die Zahlerin aber weder Vertragspartnerin noch bisher als Beteiligte bekannt sei. Es handele sich nach der Zahlung der Adriatic Commerce Ltd. vom April um den zweiten Drittzahler-Eingang zu diesem Kundenverhältnis.</w:t>
      </w:r>
    </w:p>
    <w:p>
      <w:pPr>
        <w:jc w:val="left"/>
      </w:pPr>
      <w:r>
        <w:t>2 Inhalt des Gesprächs</w:t>
      </w:r>
    </w:p>
    <w:p>
      <w:pPr>
        <w:jc w:val="left"/>
      </w:pPr>
      <w:r>
        <w:t>Ich habe Frau Klodt bestätigt, dass die Musterholding GmbH die Zahlung nicht angefordert hat und zu der Carpathian Consulting LLC keine Geschäftsbeziehung besteht. Eine Rechnung über 480000 Euro existiert nicht; der Liefervertrag mit der Danube Trade Solutions SRL sieht eine Anzahlung von 187500 Euro und Restzahlungen nach Lieferabschnitten vor. Ich habe mitgeteilt, dass intern ein vorläufiger Transaktionsstopp für das Kundenverhältnis besteht und die Mittel bis zur Klärung nicht verwendet werden. Zu weiteren Hintergründen habe ich auf die laufende interne Prüfung verwiesen und keine Angaben gemacht.</w:t>
      </w:r>
    </w:p>
    <w:p>
      <w:pPr>
        <w:jc w:val="left"/>
      </w:pPr>
      <w:r>
        <w:t>Frau Klodt fragte, ob die Musterholding GmbH eine Rücküberweisung an die Auftraggeberbank wünsche. Ich habe erklärt, dass hierüber erst nach Rücksprache mit unserer externen Beraterin entschieden wird, und um schriftliche Mitteilung der vollständigen Auftraggeberdaten gebeten. Frau Klodt sagte die Übersendung des Zahlungsavis bis zum 25. Mai 2026 zu. Die Bank werde den Vorgang ihrerseits nach den bankinternen Prozessen behandeln; Einzelheiten nannte sie nicht.</w:t>
      </w:r>
    </w:p>
    <w:p>
      <w:pPr>
        <w:jc w:val="left"/>
      </w:pPr>
      <w:r>
        <w:t>3 Veranlassung</w:t>
      </w:r>
    </w:p>
    <w:p>
      <w:pPr>
        <w:jc w:val="left"/>
      </w:pPr>
      <w:r>
        <w:t>Der Betrag von 480000 Euro wird auf dem internen Verrechnungskonto 1749 separiert gebucht. Kopie dieses Vermerks an Frau Wollner (Geschäftsführung Finanzen) und an RA Dr. Heller. Wiedervorlage 26. Mai 2026 nach Eingang des Zahlungsavis. Der Vorgang wird der Dokumentation zum Kundenverhältnis Danube Trade Solutions SRL zugeordnet.</w:t>
      </w:r>
    </w:p>
    <w:p>
      <w:pPr>
        <w:jc w:val="left"/>
      </w:pPr>
      <w:r>
        <w:t>Eckhardt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