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Mandat: Metallbau Hansa GmbH, Aktenzeichen MH-2026-001</w:t>
      </w:r>
    </w:p>
    <w:p>
      <w:pPr>
        <w:jc w:val="left"/>
      </w:pPr>
      <w:r>
        <w:t>Datum: 27.05.2026, 09:30 bis 10:05 Uhr</w:t>
      </w:r>
    </w:p>
    <w:p>
      <w:pPr>
        <w:jc w:val="left"/>
      </w:pPr>
      <w:r>
        <w:t>Gesprächspartner: Herr Hauke Jarchow, Geschäftsführer der Stahlhandel Küste GmbH, sowie zeitweise Frau Priebe (Debitorenbuchhaltung)</w:t>
      </w:r>
    </w:p>
    <w:p>
      <w:pPr>
        <w:jc w:val="left"/>
      </w:pPr>
      <w:r>
        <w:t>Geführt von: RA Dr. Westphal, im Beisein von CFO Hollender (zugeschaltet)</w:t>
      </w:r>
    </w:p>
    <w:p>
      <w:pPr>
        <w:jc w:val="left"/>
      </w:pPr>
      <w:r>
        <w:t>1 Anlass</w:t>
      </w:r>
    </w:p>
    <w:p>
      <w:pPr>
        <w:jc w:val="left"/>
      </w:pPr>
      <w:r>
        <w:t>Abstimmung zur offenen Forderung der Stahlhandel Küste GmbH (gesamt 610.000 Euro, davon fällig 280.000 Euro) und zur Fortsetzung der Belieferung während der Sanierungsphase.</w:t>
      </w:r>
    </w:p>
    <w:p>
      <w:pPr>
        <w:jc w:val="left"/>
      </w:pPr>
      <w:r>
        <w:t>2 Gesprächsinhalt</w:t>
      </w:r>
    </w:p>
    <w:p>
      <w:pPr>
        <w:jc w:val="left"/>
      </w:pPr>
      <w:r>
        <w:t>Herr Jarchow erklärt, seine Kreditversicherung habe das Limit für die Metallbau Hansa GmbH zum 15.05.2026 auf null gesetzt. Seitdem liefere er faktisch nur noch gegen Vorkasse; zwei Abrufe aus der laufenden Woche (zusammen etwa 84.000 Euro Materialwert) halte er zurück, bis eine Regelung steht. Er betont, dass er das Unternehmen seit über fünfzehn Jahren beliefert und an einer Fortführung interessiert ist, "aber nicht um jeden Preis". Frau Priebe benennt die fälligen Rechnungen: im Wesentlichen die Sammelrechnungen aus Februar und März 2026; die Aprilrechnungen seien noch nicht fällig.</w:t>
      </w:r>
    </w:p>
    <w:p>
      <w:pPr>
        <w:jc w:val="left"/>
      </w:pPr>
      <w:r>
        <w:t>Zum verlängerten Eigentumsvorbehalt erklärt Herr Jarchow, nach seiner Aufstellung lagere bei der Schuldnerin unter Eigentumsvorbehalt geliefertes Rohmaterial mit einem Rechnungswert von rund 640.000 Euro; eine stichtagsbezogene Inventurliste könne er bis zum 02.06.2026 übermitteln. Auf den Hinweis, dass die Hausbank eine Globalzession mit Verarbeitungsklausel hält, reagiert er hörbar verärgert und verweist auf seine Lieferbedingungen; die Unterlagen dazu will er seiner eigenen Anwältin geben. Namen und Kanzlei nennt er noch nicht.</w:t>
      </w:r>
    </w:p>
    <w:p>
      <w:pPr>
        <w:jc w:val="left"/>
      </w:pPr>
      <w:r>
        <w:t>3 Ergebnis und Absprachen</w:t>
      </w:r>
    </w:p>
    <w:p>
      <w:pPr>
        <w:jc w:val="left"/>
      </w:pPr>
      <w:r>
        <w:t>Vereinbart wird ein Präsenztermin am 09.06.2026, 14:00 Uhr, bei Stahlhandel Küste in der Spaldingstraße, Ziel ist eine Gesamtregelung bis zum 14.06.2026. Bis dahin liefert Stahlhandel Küste gegen Vorkasse weiter; Herr Jarchow sagt zu, die beiden zurückgehaltenen Abrufe bei Vorkassezahlung noch in dieser Woche freizugeben, da sonst der InfraRail-Liefertermin der Schuldnerin kippe. Herr Hollender übermittelt bis 29.05.2026 eine Aufstellung der in den nächsten sechs Wochen benötigten Materialmengen. Eine Zusage zu Quoten oder Verzichten wurde nicht abgegeben, dies wurde ausdrücklich festgehalten.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