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Falkenried &amp; Partner PartG mbB · Mandat Nordstern BioTherapeutics GmbH · NB-LS 26/441</w:t>
      </w:r>
    </w:p>
    <w:p>
      <w:pPr>
        <w:jc w:val="left"/>
      </w:pPr>
      <w:r>
        <w:t>Gespräch am 10. Juli 2026, 16:20 bis 16:47 Uhr. Teilnehmer: Herr Sebastian Kordes (CFO Nordstern BioTherapeutics GmbH) und RA Julian Norder. Vermerk gefertigt von RA Norder unmittelbar nach dem Gespräch.</w:t>
      </w:r>
    </w:p>
    <w:p>
      <w:pPr>
        <w:jc w:val="left"/>
      </w:pPr>
      <w:r>
        <w:t>1 Anlass</w:t>
      </w:r>
    </w:p>
    <w:p>
      <w:pPr>
        <w:jc w:val="left"/>
      </w:pPr>
      <w:r>
        <w:t>Herr Kordes rief wegen der Rechnung FP-2026-1884 und der noch offenen Freigabe über 285.000 Euro an. Er bezog sich auf seine E-Mail an Frau Dr. Weiß und auf die Priorisierungsmail des General Counsel vom 9. Juli.</w:t>
      </w:r>
    </w:p>
    <w:p>
      <w:pPr>
        <w:jc w:val="left"/>
      </w:pPr>
      <w:r>
        <w:t>2 Angaben und Haltung des CFO</w:t>
      </w:r>
    </w:p>
    <w:p>
      <w:pPr>
        <w:jc w:val="left"/>
      </w:pPr>
      <w:r>
        <w:t>Herr Kordes stellte klar, dass er die fachliche Arbeit der Kanzlei nicht in Frage stelle. Ihn störe die Darstellung einzelner Positionen. Konkret benannte er die Einträge 4,1 Stunden interner Call und 3,4 Stunden Budgetupdate sowie zwei Positionen aus dem Juni mit der Beschreibung Analyse Dokumente, bei denen er nicht erkennen könne, welchem Strang sie zuzuordnen seien. Er sagte, ein Dashboard dürfe nicht selbst zum Gebührenfass werden. Die unstreitigen Beträge wolle er sofort anweisen; für die offenen Positionen brauche er nachvollziehbare Beschreibungen und die Angabe der Budgetstelle je Eintrag.</w:t>
      </w:r>
    </w:p>
    <w:p>
      <w:pPr>
        <w:jc w:val="left"/>
      </w:pPr>
      <w:r>
        <w:t>3 Zusagen der Kanzlei</w:t>
      </w:r>
    </w:p>
    <w:p>
      <w:pPr>
        <w:jc w:val="left"/>
      </w:pPr>
      <w:r>
        <w:t>RA Norder sagte zu, bis 14. Juli eine überarbeitete Leistungsaufstellung zu übersenden, in der die beanstandeten Sammelpositionen in einzelne Tätigkeiten mit Datum, Bearbeiter, Budgetstelle Vektor oder Board und Dauer aufgeschlüsselt werden. Die Position Board Update vom 24. Juni werde auf den vereinbarten Rabatt geprüft. Herr Kordes akzeptierte, dass die Aufschlüsselung selbst nicht gesondert berechnet wird.</w:t>
      </w:r>
    </w:p>
    <w:p>
      <w:pPr>
        <w:jc w:val="left"/>
      </w:pPr>
      <w:r>
        <w:t>4 Weiteres</w:t>
      </w:r>
    </w:p>
    <w:p>
      <w:pPr>
        <w:jc w:val="left"/>
      </w:pPr>
      <w:r>
        <w:t>Herr Kordes bat darum, die Kostenfrage getrennt vom laufenden Zeitdruck beim Lieferantenvertrag zu behandeln, und verwies insoweit auf Frau Dr. Weiß. Er kündigte an, die unstreitigen Beträge noch am selben Tag zur Zahlung zu geben. Wiedervorlage: 14. Juli 2026 (Versand Aufstellung).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