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Gesprächsprotokoll HR (Fragment)</w:t>
      </w:r>
    </w:p>
    <w:p>
      <w:pPr>
        <w:jc w:val="left"/>
      </w:pPr>
      <w:r>
        <w:t>HanseLicht Komponenten GmbH, Standort Bremen. Personalgespräch vom 19.05.2026, 10:30 Uhr, Besprechungsraum 2.14. Protokoll: Frau Brösel, HR Business Partner. Ausdruck von Frau Herbst am 20.05.2026 mit deren handschriftlichem Vermerk am Rand: "Seite 2 fehlt, mehr habe ich nicht bekommen".</w:t>
      </w:r>
    </w:p>
    <w:p>
      <w:pPr>
        <w:pStyle w:val="Heading2"/>
      </w:pPr>
      <w:r>
        <w:rPr>
          <w:rFonts w:ascii="Times New Roman" w:hAnsi="Times New Roman"/>
        </w:rPr>
        <w:t>1 Teilnehmende</w:t>
      </w:r>
    </w:p>
    <w:p>
      <w:pPr>
        <w:jc w:val="left"/>
      </w:pPr>
      <w:r>
        <w:t>Frau Brösel (HR), Frau Herbst (Einkauf), Herr Vogt (Betriebsrat, auf Wunsch von Frau Herbst; Teilnahme durch HR zugelassen, nachdem Frau Herbst die Teilnahme zur Bedingung gemacht hatte). Herr Kallweit nimmt nicht teil. Das ursprünglich für den 14.05.2026 angesetzte Gespräch war am Morgen desselben Tages durch HR verschoben worden, da Frau Brösel erkrankt war.</w:t>
      </w:r>
    </w:p>
    <w:p>
      <w:pPr>
        <w:pStyle w:val="Heading2"/>
      </w:pPr>
      <w:r>
        <w:rPr>
          <w:rFonts w:ascii="Times New Roman" w:hAnsi="Times New Roman"/>
        </w:rPr>
        <w:t>2 Gesprächsverlauf</w:t>
      </w:r>
    </w:p>
    <w:p>
      <w:pPr>
        <w:jc w:val="left"/>
      </w:pPr>
      <w:r>
        <w:t>Frau Brösel benennt den Anlass: die Äußerung vom 13.05.2026 in der Kantine, wonach Herr Kallweit "die Zahlen zurechttrickst". Die Äußerung sei HR durch zwei Hinweise bekannt geworden; die Namen der Hinweisgeber nennt Frau Brösel nicht. Herr Kallweit fühle sich in seiner Stellung als Bereichsleiter herabgesetzt und habe sich arbeitsrechtliche Schritte vorbehalten; zugleich habe er erklärt, ihm sei "an einer sachlichen Klärung mehr gelegen als an einer Eskalation".</w:t>
      </w:r>
    </w:p>
    <w:p>
      <w:pPr>
        <w:jc w:val="left"/>
      </w:pPr>
      <w:r>
        <w:t>Frau Herbst erklärt, sie habe keinen persönlichen Betrugsvorwurf erheben wollen, sondern die Verschiebung der Frachtkosten in die Sammelposition kritisiert. Sie verweist auf die beiden Dateiversionen vom 02.05.2026 und vom 10.05.2026 und bietet an, diese gemeinsam mit dem Controlling durchzugehen. Herr Vogt regt an, die fachliche Frage der Kostenumlage von der persönlichen Ebene zu trennen und die Deckungsbeitragsrechnung in der nächsten Abteilungsrunde offen zu erläutern.</w:t>
      </w:r>
    </w:p>
    <w:p>
      <w:pPr>
        <w:jc w:val="left"/>
      </w:pPr>
      <w:r>
        <w:t>Frau Brösel weist darauf hin, dass die Äußerung in Anwesenheit von Beschäftigten anderer Tische gefallen sei und dass der Praktikant aus der Logistik nicht mehr im Haus sei; ob dieser etwas weitergegeben habe, sei nicht bekannt. Auf Frage von Herrn Vogt bestätigt Frau Brösel, dass eine Abmahnung "derzeit nicht entschieden" sei.</w:t>
      </w:r>
    </w:p>
    <w:p>
      <w:pPr>
        <w:jc w:val="left"/>
      </w:pPr>
      <w:r>
        <w:t>Frau Herbst bietet an, gegenüber Herrn Kallweit klarzustellen, dass sie ihm keine Manipulationsabsicht unterstellt, wenn im Gegenzug die Umlagefrage transparent aufgearbeitet wird. Frau Brösel will dies mit Herrn Kallweit und der CFO, Frau Hagedorn-Wibbel, besprechen. Sodann wird die Frage der Excel-Zugriffsrechte erörtert; Frau Herbst erklärt hierzu, dass sie die Version vom 02.05.2026 regulär über den Abteilungsordner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