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Akte: R&amp;M/PV-2026/VL-089 (SchneidWerk / Flow-Edge)</w:t>
      </w:r>
    </w:p>
    <w:p>
      <w:pPr>
        <w:jc w:val="left"/>
      </w:pPr>
      <w:r>
        <w:t>Datum und Zeit: 04.05.2026, 10:05 bis 10:20 Uhr sowie 11:40 bis 11:50 Uhr</w:t>
      </w:r>
    </w:p>
    <w:p>
      <w:pPr>
        <w:jc w:val="left"/>
      </w:pPr>
      <w:r>
        <w:t>Vermerk erstellt von: Dr. Bessler, diktiert an Sekretariat Obermeier</w:t>
      </w:r>
    </w:p>
    <w:p>
      <w:pPr>
        <w:jc w:val="left"/>
      </w:pPr>
      <w:r>
        <w:t>1 Erstes Gespräch mit dem Gegnervertreter</w:t>
      </w:r>
    </w:p>
    <w:p>
      <w:pPr>
        <w:jc w:val="left"/>
      </w:pPr>
      <w:r>
        <w:t>Anruf bei der Kanzlei Grieshuber Wagner Köllhofer, München, verbunden mit Herrn Rechtsanwalt Wagner. Auf unsere Bitte um Verlängerung der in der Abmahnung vom 20.04.2026 gesetzten Frist erklärt Herr Wagner, seine Mandantin, die Kraus &amp; Wenninger Lasertechnik AG, sei mit einer Verlängerung bis zum 20.05.2026 einverstanden, allerdings nur unter der Bedingung, dass bis dahin eine inhaltliche Stellungnahme und nicht nur eine weitere Fristbitte erfolgt. Eine schriftliche Bestätigung der Fristverlängerung werde noch heute per beA übermittelt. Auf die Frage, ob seine Mandantin bereits Klage vorbereitet habe, antwortet Herr Wagner ausweichend; man halte sich "alle Wege offen". Er erwähnt von sich aus, dass seine Mandantin die Flow-Edge-Düse auf der Messe LASYS in Stuttgart gesehen und dort auch ein Musterexemplar erworben habe.</w:t>
      </w:r>
    </w:p>
    <w:p>
      <w:pPr>
        <w:jc w:val="left"/>
      </w:pPr>
      <w:r>
        <w:t>2 Zweites Gespräch mit der Mandantin</w:t>
      </w:r>
    </w:p>
    <w:p>
      <w:pPr>
        <w:jc w:val="left"/>
      </w:pPr>
      <w:r>
        <w:t>Rückruf bei Frau Timmermann, SchneidWerk Ostwestfalen GmbH. Mitgeteilt wird die Fristverlängerung bis zum 20.05.2026. Frau Timmermann teilt mit, die alten Zeichnungen der Prototypenserie von 2019 seien inzwischen gefunden; es handele sich um sechs Blatt CAD-Ausdrucke mit Datumsstempel und um einen Lieferschein an die Firma des Kunden aus Bielefeld vom 14.08.2019. Der damalige Konstrukteur, Herr Okonkwo, sei noch im Haus und könne Auskunft geben. Die Unterlagen würden bis 07.05.2026 eingescannt und übersandt. Frau Timmermann wiederholt, dass sie ohne Rücksprache nichts unterschreiben werde.</w:t>
      </w:r>
    </w:p>
    <w:p>
      <w:pPr>
        <w:jc w:val="left"/>
      </w:pPr>
      <w:r>
        <w:t>3 Weiteres</w:t>
      </w:r>
    </w:p>
    <w:p>
      <w:pPr>
        <w:jc w:val="left"/>
      </w:pPr>
      <w:r>
        <w:t>Fristenbuch ist auf den 20.05.2026 umgetragen, Vorfrist 13.05.2026. Eingang der schriftlichen Bestätigung des Gegnervertreters überwachen.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