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Mitschrift der außerordentlichen Gesellschafterversammlung vom 24. Juni 2026 (Arbeitsfassung)</w:t>
      </w:r>
    </w:p>
    <w:p>
      <w:pPr>
        <w:jc w:val="left"/>
      </w:pPr>
      <w:r>
        <w:t>Mitschrift Beate Pawlowski (Sekretariat Geschäftsführung LausitzStorage 200 GmbH), gefertigt parallel zur notariellen Niederschrift der Notarin Dr. Albers. Die notarielle Niederschrift (UR-Nr. 423/2026) lag bei Abgabe dieser Mitschrift an Pohlmann &amp; Pohlmann noch nicht vor. Seiten 3 und 4 der Handschrift fehlen im Scan; die Lücke ist unten vermerkt.</w:t>
      </w:r>
    </w:p>
    <w:p>
      <w:pPr>
        <w:jc w:val="left"/>
      </w:pPr>
      <w:r>
        <w:t>1 Beginn und Anwesenheit</w:t>
      </w:r>
    </w:p>
    <w:p>
      <w:pPr>
        <w:jc w:val="left"/>
      </w:pPr>
      <w:r>
        <w:t>Beginn 10:14 Uhr (verspätet wegen Zugverspätung der Vertreter der Stadtwerke), Räume Notarbüro Dr. Albers, Kurfürstendamm 187, Berlin. Anwesend: Herr Bauernfeind (Geschäftsführer und Gesellschafter), für NordCap Herr Le Bouëdec und Frau Kraft mit Rechtsanwalt Dr. Sperveslage (Federfuchs Knöterich &amp; Partner), Herr Lindenthal mit Rechtsanwältin Frau Jancker, für die Stadtwerke Cottbus Beteiligungs-GmbH Frau Dr. Rothkirch, ferner RAin Dr. Hesselmann-Sauerbruch für die Mandantin. Versammlungsleitung Notarin Dr. Albers auf einstimmigen Beschluss. Frau Kraft rügt zu Protokoll, dass der E-Mail-Versand der Einberufung vom 12. Juni 2026 an die NordCap-Hauptadresse erst am 13. Juni erfolgt sei; die Einwurf-Einschreiben seien unstreitig zugegangen.</w:t>
      </w:r>
    </w:p>
    <w:p>
      <w:pPr>
        <w:jc w:val="left"/>
      </w:pPr>
      <w:r>
        <w:t>2 Tagesordnungspunkt 1 (Bericht der Geschäftsführung)</w:t>
      </w:r>
    </w:p>
    <w:p>
      <w:pPr>
        <w:jc w:val="left"/>
      </w:pPr>
      <w:r>
        <w:t>Herr Bauernfeind berichtet von 10:31 bis 11:19 Uhr zum Stand der Drawstop-Punkte. Er verweist auf die Zugangsbestätigung der Stadtwerke zur Anlage 4 vom 18. Juni und erklärt, das Einzelaval 50Hertz liege "in der finalen Abstimmung mit der ILB". Herr Le Bouëdec widerspricht der Darstellung zum Hauptantrag BImSchG und zitiert aus einem Schreiben des LfU, dessen Datum in der Mitschrift nicht festgehalten wurde. Wortwechsel zwischen Dr. Sperveslage und RAin Dr. Hesselmann-Sauerbruch zur Frage, ob der Compliance-Vermerk vom 12. Dezember 2025 den Gesellschaftern vollständig vorliegt.</w:t>
      </w:r>
    </w:p>
    <w:p>
      <w:pPr>
        <w:jc w:val="left"/>
      </w:pPr>
      <w:r>
        <w:t>[Seiten 3 und 4 der Handschrift fehlen; nach Erinnerung der Verfasserin betrafen sie die Aussprache zu Tagesordnungspunkt 2 und den Vertagungsantrag Lindenthal.]</w:t>
      </w:r>
    </w:p>
    <w:p>
      <w:pPr>
        <w:jc w:val="left"/>
      </w:pPr>
      <w:r>
        <w:t>3 Abstimmung zu Tagesordnungspunkt 2 (Abberufung)</w:t>
      </w:r>
    </w:p>
    <w:p>
      <w:pPr>
        <w:jc w:val="left"/>
      </w:pPr>
      <w:r>
        <w:t>Abstimmung 13:47 Uhr. Die Versammlungsleiterin stellt zuvor fest, dass Herr Bauernfeind bei diesem Punkt nicht mitstimmt; Dr. Sperveslage und RAin Dr. Hesselmann-Sauerbruch geben hierzu gegenläufige Erklärungen zu Protokoll. Abgegebene Stimmen: NordCap ja, Lindenthal Enthaltung, Stadtwerke Cottbus Enthaltung. Die Versammlungsleiterin stellt fest, dass der Antrag die erforderliche Mehrheit nicht erreicht hat. Frau Kraft erklärt für NordCap, man behalte sich "sämtliche Schritte einschließlich der gerichtlichen Überprüfung der Beschlussfeststellung" vor.</w:t>
      </w:r>
    </w:p>
    <w:p>
      <w:pPr>
        <w:jc w:val="left"/>
      </w:pPr>
      <w:r>
        <w:t>4 Weitere Punkte und Ende</w:t>
      </w:r>
    </w:p>
    <w:p>
      <w:pPr>
        <w:jc w:val="left"/>
      </w:pPr>
      <w:r>
        <w:t>Tagesordnungspunkt 3 (Interim-Geschäftsführer Dr. Garnatz) wird nach kurzer Aussprache nicht zur Abstimmung gestellt. Zu Tagesordnungspunkt 4 wird ohne Gegenstimme beschlossen, dass die Geschäftsführung bis zum 15. Juli 2026 ein Mandatierungsangebot von Frau Schöneberger als CRO mit auf sechs Monate befristetem Auftrag einholt; Frau Kraft erklärt, die Zustimmung von NordCap zu diesem Vorgehen ersetze den Drawstop-Rückzug nicht. Tagesordnungspunkt 5 (Kapitalerhöhung) wird auf Antrag Lindenthal einstimmig vertagt. Ende der Versammlung 15:02 Uhr. Die Mitschrift endet hier; ein von Herrn Le Bouëdec angekündigtes Schreiben an alle Gesellschafter lag bis zum 26. Juni 2026 im Sekretariat nicht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