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Amtsgericht Tiergarten</w:t>
      </w:r>
    </w:p>
    <w:p>
      <w:pPr>
        <w:jc w:val="left"/>
      </w:pPr>
      <w:r>
        <w:t>Turmstraße 91, 10559 Berlin · Abteilung 304</w:t>
      </w:r>
    </w:p>
    <w:p>
      <w:pPr>
        <w:jc w:val="left"/>
      </w:pPr>
      <w:r>
        <w:t>Geschäftsnummer: (304 Ds) 304 Js 1288/26 · Bitte bei allen Eingaben angeben</w:t>
      </w:r>
    </w:p>
    <w:p>
      <w:pPr>
        <w:jc w:val="left"/>
      </w:pPr>
      <w:r>
        <w:t>Berlin, 10. Juli 2026</w:t>
      </w:r>
    </w:p>
    <w:p>
      <w:pPr>
        <w:jc w:val="left"/>
      </w:pPr>
      <w:r>
        <w:t>An Rechtsanwältin Julia Bernhardt, Berlin · Abschrift an die Amtsanwaltschaft/Staatsanwaltschaft Berlin</w:t>
      </w:r>
    </w:p>
    <w:p>
      <w:pPr>
        <w:pStyle w:val="Heading2"/>
      </w:pPr>
      <w:r>
        <w:rPr>
          <w:rFonts w:ascii="Times New Roman" w:hAnsi="Times New Roman"/>
        </w:rPr>
        <w:t>Zwischennachricht in der Strafsache gegen Kemal Arslan</w:t>
      </w:r>
    </w:p>
    <w:p>
      <w:pPr>
        <w:jc w:val="left"/>
      </w:pPr>
      <w:r>
        <w:t>Auf die Anfrage der Verteidigung zur Terminslage wird mitgeteilt, dass der zunächst ins Auge gefasste Hauptverhandlungstermin am 11. August 2026 nicht gehalten werden kann. Die Verteidigung hat die Verhinderung des unfallanalytischen Sachverständigen für den 4. und den 11. August 2026 angezeigt; das Gericht hat daraufhin von einer Ladung zu diesem Termin abgesehen.</w:t>
      </w:r>
    </w:p>
    <w:p>
      <w:pPr>
        <w:jc w:val="left"/>
      </w:pPr>
      <w:r>
        <w:t>Als neue Termine kommen nach der Sitzungsplanung der Abteilung in Betracht: Dienstag, 25. August 2026, 9:00 Uhr, sowie als Fortsetzungs- oder Ausweichtermin Dienstag, 1. September 2026, 9:30 Uhr, jeweils Saal B 119, Kriminalgericht Moabit. Die Staatsanwaltschaft hat gegen beide Termine keine Einwände erhoben. Die Ladung des Zeugen Wysocki und des Sachverständigen ist für den 25. August 2026 vorgesehen; für die Inaugenscheinnahme der Dashcam-Aufzeichnung wird ein Sitzungssaal mit Abspieltechnik bereitgestellt.</w:t>
      </w:r>
    </w:p>
    <w:p>
      <w:pPr>
        <w:jc w:val="left"/>
      </w:pPr>
      <w:r>
        <w:t>Die Verteidigung wird gebeten, etwaige Verhinderungen an den genannten Tagen binnen einer Woche ab Zugang dieser Nachricht mitzuteilen und zugleich anzugeben, ob der Sachverständige an beiden Tagen zur Verfügung steht. Nach Fristablauf ergeht Terminsverfügung; förmliche Ladungen folgen gesondert.</w:t>
      </w:r>
    </w:p>
    <w:p>
      <w:pPr>
        <w:jc w:val="left"/>
      </w:pPr>
      <w:r>
        <w:t>Die mit Schriftsatz vom 2. Juli 2026 erbetenen digitalen Originaldateien nebst Metadaten liegen dem Gericht bislang nur teilweise vor; die Akte ist zur ergänzenden Übersendung an die Staatsanwaltschaft übermittelt worden und wird nach Rücklauf erneut zur Einsicht bereitgestellt.</w:t>
      </w:r>
    </w:p>
    <w:p>
      <w:pPr>
        <w:jc w:val="left"/>
      </w:pPr>
      <w:r>
        <w:t>Auf Anordnung</w:t>
      </w:r>
    </w:p>
    <w:p>
      <w:pPr>
        <w:jc w:val="left"/>
      </w:pPr>
      <w:r>
        <w:t>Brettschneider, Justizbeschäftigte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