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Mandatsauftrag 16 Oktober</w:t>
      </w:r>
    </w:p>
    <w:p>
      <w:pPr/>
      <w:r>
        <w:t>Kanzlei Fenchel. Rechtsanwältin Daria Fenchel, Fiktiver Birkenbogen 8, 06108 Halle (Saale). Akte DF 166/26. Aufnahme am Freitag, 16.10.2026, 09.10 Uhr.</w:t>
      </w:r>
    </w:p>
    <w:p>
      <w:pPr>
        <w:pStyle w:val="Heading1"/>
      </w:pPr>
      <w:r>
        <w:t>1. Auftrag und Beteiligte</w:t>
      </w:r>
    </w:p>
    <w:p>
      <w:pPr/>
      <w:r>
        <w:t>Kunigunde Rabenstein, Fiktive Lindenhofgasse 17, 06108 Halle (Saale), ist private Kontoinhaberin bei der Saaleufer Bank AG, Fiktiver Uferplatz 4, 06108 Halle (Saale). Das Konto mit der internen Kundenkennung KR-4821 wird für ihren Haushalt geführt. Frau Rabenstein arbeitet als Bibliotheksassistentin. Sie hat am 12.10.2026 einen gebrauchten Lesesessel auf der Plattform Hofmarkt angeboten. Eine fremde Person hat anschließend 700,00 EUR von ihrem Konto überwiesen. Frau Rabenstein will diesen Betrag zurück und eine verständliche Erklärung der Bank.</w:t>
      </w:r>
    </w:p>
    <w:p>
      <w:pPr/>
      <w:r>
        <w:t>Sie beauftragt die Kanzlei zunächst, die vorhandenen Belege zu ordnen und das Erstattungsschreiben zu überarbeiten. Ein Klageentwurf soll vorbereitet, aber noch nicht eingereicht werden. Sie wünscht keine Strafanzeige gegen Beschäftigte der Bank und keine Veröffentlichung ihres Falls. Die am 13.10.2026 an die Polizei übermittelte Sachverhaltsschilderung liegt als private Kopie vor. Eine amtliche Eingangsbestätigung fehlt noch. Ein anwaltliches Honorar ist gesondert zu vereinbaren; aus der Buchungsliste ergibt sich keine Kostenfreigabe.</w:t>
      </w:r>
    </w:p>
    <w:p>
      <w:pPr>
        <w:pStyle w:val="Heading1"/>
      </w:pPr>
      <w:r>
        <w:t>2. Sachstand</w:t>
      </w:r>
    </w:p>
    <w:p>
      <w:pPr/>
      <w:r>
        <w:t>Am Montagabend gelangte Frau Rabenstein über eine angebliche Kaufbestätigung auf eine Seite, die für sie wie der Zugang ihrer Bank aussah. Dort gab sie ihre Kennung, ihr Passwort und einen per SMS empfangenen Code ein. Sie erklärt ausdrücklich, keine Überweisung beauftragt, keinen Empfänger ausgewählt und keine Zahlung über 700,00 EUR gebilligt zu haben. Welche technische Authentifizierung der spätere Zahlungsauftrag durchlief, ist unbekannt. Die Kanzlei darf aus der Eingabe der Zugangsdaten keine zusätzliche Freigabehandlung ergänzen.</w:t>
      </w:r>
    </w:p>
    <w:p>
      <w:pPr/>
      <w:r>
        <w:t>Am Dienstag, 13.10.2026, 08.42 Uhr, meldete sie die Belastung der Bank. Am 14.10. lehnte die Bank eine Erstattung mit der Weitergabe der Zugangsdaten und grober Fahrlässigkeit ab. Die Bank benennt keinen eigenen Betrugsverdacht gegen die Kundin. Bis zum Auszug vom 16.10., 08.00 Uhr, erfolgte keine Gutschrift. Die Mitarbeiterin im Rückrufdienst erklärte, der Betrag könne nach Abschluss einer internen Prüfung zurückkommen; eine Zusage liegt darin nicht.</w:t>
      </w:r>
    </w:p>
    <w:p>
      <w:pPr>
        <w:pStyle w:val="Heading1"/>
      </w:pPr>
      <w:r>
        <w:t>3. Erwartetes Ergebnis</w:t>
      </w:r>
    </w:p>
    <w:p>
      <w:pPr/>
      <w:r>
        <w:t>Die Kanzlei soll die sofort verlangte Erstattung, die technische Aufklärung und ein mögliches späteres Ersatzverlangen der Bank getrennt bearbeiten. Ein Entwurf des Erstattungsschreibens und ein noch nicht freigegebener Klageentwurf liegen bei. Die Anlagen K1 bis K8 sollen belegt zugeordnet werden. Frau Fenchel entscheidet nach Rücksprache mit Frau Rabenstein über Versand oder Einreichung. Offene Angaben sollen als Fragen sichtbar bleiben; fehlende Bankprotokolle dürfen nicht erfunden werden.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DF 166/26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9" w:lineRule="auto"/>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Mandatsauftrag 16 Oktober</dc:title>
  <dc:subject/>
  <dc:creator>Kanzlei Fenchel</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