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Erstattungsschreiben Entwurf</w:t>
      </w:r>
    </w:p>
    <w:p>
      <w:pPr/>
      <w:r>
        <w:t>Rechtsanwältin Daria Fenchel, Fiktiver Birkenbogen 8, 06108 Halle (Saale). An die Saaleufer Bank AG, Reklamationsbearbeitung, Fiktiver Uferplatz 4, 06108 Halle (Saale). 16.10.2026. Unser Zeichen DF 166/26; Ihr Vorgang SB-2026-1013-4821. Entwurf, noch nicht versandt.</w:t>
      </w:r>
    </w:p>
    <w:p>
      <w:pPr/>
      <w:r>
        <w:t>Erstattung der nicht autorisierten Belastung über 700 Euro</w:t>
      </w:r>
    </w:p>
    <w:p>
      <w:pPr/>
      <w:r>
        <w:t>Sehr geehrte Damen und Herren,</w:t>
      </w:r>
    </w:p>
    <w:p>
      <w:pPr/>
      <w:r>
        <w:t>ich vertrete Frau Kunigunde Rabenstein. Meine Mandantin verlangt die Erstattung der am 12.10.2026 gebuchten, von ihr nicht autorisierten Zahlung über 700,00 EUR und die entsprechende Wiederherstellung ihres Zahlungskontos KR-4821. Sie zeigte Ihnen den Vorgang am 13.10.2026 um 08.42 Uhr an. Ihre Eingangsbestätigung und Ihr Schreiben vom 14.10.2026 liegen bei. Aus dem Auszug vom heutigen Morgen ergibt sich keine Erstattung. Belege: Anlagen K1, K4, K5 und K6.</w:t>
      </w:r>
    </w:p>
    <w:p>
      <w:pPr/>
      <w:r>
        <w:t>Meine Mandantin wollte über Hofmarkt einen Sessel für 85,00 EUR verkaufen. Ein vermeintlicher Käufer führte sie zu einer bankähnlichen Seite. Sie gab dort Zugangsdaten und einen per SMS erhaltenen Code ein. Sie erteilte dadurch nach ihrer Darstellung keinen Zahlungsauftrag und billigte die Überweisung an den im Auszug genannten Empfänger nicht. Den Verkaufserlös hat sie nicht erhalten. Belege: Anlagen K2, K3 und K7. Ob und wie Ihr System den späteren Auftrag technisch authentifizierte, ist aufzuklären; eine zusätzliche Zahlungsfreigabe meiner Mandantin ist nicht belegt.</w:t>
      </w:r>
    </w:p>
    <w:p>
      <w:pPr/>
      <w:r>
        <w:t>§ 675u Sätze 2 und 3 BGB verlangt Erstattung und Kontowiederherstellung unverzüglich, spätestens bis zum Ende des folgenden Geschäftstags. Nach Ihrer Bestätigung der Anzeige am 13.10.2026 und Ihrer Geschäftstagsauskunft war dies hier spätestens Mittwoch, der 14.10.2026. Ihr Ablehnungsschreiben beruft sich allein auf grobe Fahrlässigkeit. Der Gerichtshof der Europäischen Union hat am 15.10.2026 in der Rechtssache C-70/25, Tukowiecka, zwischen der unverzüglichen Erstattung eines nicht autorisierten Zahlungsvorgangs und der späteren Verteilung des Verlusts unterschieden. Nach Rn. 31 bis 34 und 39 bis 42 dieser Entscheidung gestattet der bloße Vorwurf grober Fahrlässigkeit keine Verweigerung der unverzüglichen Erstattung. Die besondere Ausnahme setzt einen begründeten Verdacht eigenen betrügerischen Handelns des Zahlers und die schriftliche Mitteilung der Gründe an die zuständige Behörde voraus. Die Entscheidung betrifft die Auslegung von Artikel 73 Absatz 1 und Artikel 74 Absatz 1 der Richtlinie (EU) 2015/2366. Ein späteres, begründetes Ersatzverlangen wäre gesondert zu prüfen; meine Mandantin erkennt ein solches nicht an.</w:t>
      </w:r>
    </w:p>
    <w:p>
      <w:pPr/>
      <w:r>
        <w:t>Bitte stellen Sie das Konto unverzüglich entsprechend dem Erstattungsanspruch wieder her und bestätigen Sie den Vollzug schriftlich. Diese Aufforderung enthält keine Verlängerung einer bereits laufenden oder abgelaufenen gesetzlichen Erstattungsfrist. Soweit Sie sich auf einen rechtlich erheblichen Betrugsverdacht gegen meine Mandantin berufen wollen, teilen Sie bitte die konkreten Gründe und die dazu erfolgte behördliche Unterrichtung mit. Die bloße Weitergabe von Zugangsdaten ist in Ihrem Schreiben bislang nur als Fahrlässigkeitsvorwurf bezeichnet.</w:t>
      </w:r>
    </w:p>
    <w:p>
      <w:pPr/>
      <w:r>
        <w:t>Bitte sichern Sie außerdem die fallbezogenen Anmelde-, Geräte-, Authentifizierungs- und Zahlungsdaten gegen routinemäßige Löschung und teilen Sie mit, welche aussagekräftigen Nachweise Sie zur Verfügung stellen können. Diese Bitte behauptet keinen grenzenlosen Anspruch auf interne Systeme oder Daten unbeteiligter Personen. Den Zugangssperrvermerk haben wir als Anlage K4 erfasst; den vollständigen Zahlungsnachweis benötigen wir weiterhin.</w:t>
      </w:r>
    </w:p>
    <w:p>
      <w:pPr/>
      <w:r>
        <w:t>Mit freundlichen Grüßen</w:t>
        <w:br/>
        <w:t>Daria Fenchel, Rechtsanwältin</w:t>
      </w:r>
    </w:p>
    <w:p>
      <w:pPr/>
      <w:r>
        <w:t>Anlagen: K1 Belastungsbeleg; K2 Inserat; K3 Nachrichtenverlauf; K4 Eingangsbestätigung und Sperrvermerk; K5 Ablehnung; K6 Folgeauszug; K7 bestätigtes Gedächtnisprotokoll; K8 Vollmacht. Die Anlagenfolge ist vor Versand mit der Arbeitsmappe abzugleichen.</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DF 166/26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59" w:lineRule="auto"/>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9"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Erstattungsschreiben Entwurf</dc:title>
  <dc:subject/>
  <dc:creator>Kanzlei Fenchel</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