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Klageschrift Entwurf</w:t>
      </w:r>
    </w:p>
    <w:p>
      <w:pPr/>
      <w:r>
        <w:t>Rechtsanwältin Daria Fenchel, Fiktiver Birkenbogen 8, 06108 Halle (Saale). An das Amtsgericht Halle (Saale). Entwurf vom 16.10.2026, noch nicht eingereicht. Akte DF 166/26.</w:t>
      </w:r>
    </w:p>
    <w:p>
      <w:pPr/>
      <w:r>
        <w:t>Klage wegen einer nicht autorisierten Zahlung</w:t>
      </w:r>
    </w:p>
    <w:p>
      <w:pPr/>
      <w:r>
        <w:t>Kunigunde Rabenstein, Fiktive Lindenhofgasse 17, 06108 Halle (Saale), Klägerin, Prozessbevollmächtigte Rechtsanwältin Daria Fenchel, gegen Saaleufer Bank AG, Fiktiver Uferplatz 4, 06108 Halle (Saale), Beklagte, gesetzlich vertreten durch [vertretungsberechtigten Vorstand nach verifiziertem Registerstand ergänzen].</w:t>
      </w:r>
    </w:p>
    <w:p>
      <w:pPr>
        <w:pStyle w:val="Heading1"/>
      </w:pPr>
      <w:r>
        <w:t>1. Anträge</w:t>
      </w:r>
    </w:p>
    <w:p>
      <w:pPr/>
      <w:r>
        <w:t>Die Beklagte wird verurteilt, der Klägerin den am 12.10.2026 als Zahlung an N. Kramer abgebuchten Betrag von 700,00 EUR zu erstatten und das bei ihr geführte Zahlungskonto mit der Kundenkennung KR-4821 insoweit auf den Stand zu bringen, auf dem es sich ohne diese Belastung befunden hätte. [Die Kontobezeichnung und die prozessual eindeutig gefasste Wiederherstellung vor Einreichung mit dem aktuellen Kontoauszug abgleichen.] Die Beklagte trägt die Kosten des Rechtsstreits.</w:t>
      </w:r>
    </w:p>
    <w:p>
      <w:pPr/>
      <w:r>
        <w:t>Ein Zinsantrag und weitere Vermögensnachteile werden in diesem Arbeitsstand nicht beziffert. Vor Einreichung ist anhand des Erstattungsverlaufs und der konkreten Fälligkeit zu entscheiden, ob und in welcher Form sie geltend gemacht werden. Die Klage ist nicht bereits deshalb freigegeben, weil die Hauptsumme feststeht.</w:t>
      </w:r>
    </w:p>
    <w:p>
      <w:pPr>
        <w:pStyle w:val="Heading1"/>
      </w:pPr>
      <w:r>
        <w:t>2. Konto und streitige Belastung</w:t>
      </w:r>
    </w:p>
    <w:p>
      <w:pPr/>
      <w:r>
        <w:t>Die Klägerin führt bei der Beklagten ein privates Zahlungskonto. Am 12.10.2026 wurde dieses mit 700,00 EUR zugunsten des Empfängers N. Kramer belastet. Der Bankauszug nennt die Buchungskennung ZV-121026-1917 und die Wertstellung 12.10.2026. Die Klägerin bestreitet, diesen Zahlungsvorgang autorisiert zu haben. Beweis: Belastungsbeleg, Anlage K1; [vollständigen Zahlungsdiensterahmenvertrag und aktuellen Kontonachweis nach Eingang genau bezeichnen].</w:t>
      </w:r>
    </w:p>
    <w:p>
      <w:pPr/>
      <w:r>
        <w:t>Die Klägerin bot auf Hofmarkt einen gebrauchten Sessel für 85,00 EUR an. Ein Nutzer unter dem Anzeigenamen „Lars B.“ gab sich als Kaufinteressent aus. Über einen vermeintlichen Bestätigungslink gelangte die Klägerin auf eine bankähnliche Seite und gab dort ihre Zugangsdaten und einen per SMS erhaltenen Code ein. Eine Überweisung über 700,00 EUR wollte und billigte sie nicht. Die belastete Zahlung wurde durch einen Dritten veranlasst. Beweis: Inserat, Anlage K2; gesicherter Nachrichtenverlauf, Anlage K3; ergänzende persönliche Anhörung der Klägerin. Das eigene Gedächtnisprotokoll, Anlage K7, dokumentiert ihre Darstellung und wird nicht als unabhängiger technischer Beweis ausgegeben.</w:t>
      </w:r>
    </w:p>
    <w:p>
      <w:pPr>
        <w:pStyle w:val="Heading1"/>
      </w:pPr>
      <w:r>
        <w:t>3. Anzeige und Ablehnung</w:t>
      </w:r>
    </w:p>
    <w:p>
      <w:pPr/>
      <w:r>
        <w:t>Am 13.10.2026, 08.42 Uhr, zeigte die Klägerin die Zahlung der Beklagten an. Die Beklagte bestätigte den Eingang und die Zugangssperre. Am 14.10.2026 lehnte sie die Erstattung ab, weil die Klägerin Zugangsdaten auf einer fremden Seite eingegeben und dadurch grob fahrlässig gehandelt habe. Ein eigener Betrugsverdacht gegen die Klägerin wurde nicht benannt. Eine Wiederherstellung erfolgte bis zum Auszug vom 16.10.2026, 08.00 Uhr, nicht. Beweis: Anlagen K4 bis K6. [Den Stand unmittelbar vor Einreichung durch einen weiteren Auszug aktualisieren; eine spätere Erstattung nicht übergehen.]</w:t>
      </w:r>
    </w:p>
    <w:p>
      <w:pPr>
        <w:pStyle w:val="Heading1"/>
      </w:pPr>
      <w:r>
        <w:t>4. Rechtliche Begründung</w:t>
      </w:r>
    </w:p>
    <w:p>
      <w:pPr/>
      <w:r>
        <w:t>Die Klägerin stützt ihr Begehren auf § 675u Sätze 2 und 3 BGB. Bei Anzeige am 13.10.2026 und dem von der Bank bestätigten Geschäftstag 14.10.2026 war die Wiederherstellung spätestens bis Ende des 14.10.2026 vorzunehmen. Die Vorschrift ist im Zusammenhang mit Artikel 73 der Richtlinie (EU) 2015/2366 auszulegen. Das Urteil des Gerichtshofs der Europäischen Union vom 15.10.2026, C-70/25, Tukowiecka, betrifft gerade die Weigerung eines Zahlungsdienstleisters, wegen behaupteter grober Fahrlässigkeit sofort zu erstatten. Die unverzügliche Erstattung ist nach Rn. 31 bis 34 spätestens bis zum Ende des folgenden Geschäftstags vorzunehmen; der Vorwurf grober Fahrlässigkeit eröffnet keine eigene Ausnahme. Die Ausnahme des begründeten Betrugsverdachts betrifft eigenes betrügerisches Handeln des Zahlers und verlangt die schriftliche Mitteilung der Gründe an die zuständige Behörde, Rn. 33 und 39. Das Urteil trennt diese erste Erstattungsstufe von der späteren Verlustverteilung, Rn. 38 und 42. Eine abschließende Haftungsfreiheit der Klägerin wird damit nicht behauptet, Rn. 46 und 52; EuGH, Urteil vom 15.10.2026, C-70/25, Tukowiecka, ECLI:EU:C:2026:852. Die behauptete grobe Fahrlässigkeit darf nicht ohne Weiteres an die Stelle der Voraussetzungen einer Ausnahme von der unverzüglichen Erstattung treten.</w:t>
      </w:r>
    </w:p>
    <w:p>
      <w:pPr/>
      <w:r>
        <w:t>Damit ist die endgültige Verlustverteilung nicht vorweggenommen. Sollte die Beklagte ein späteres Ersatzverlangen erheben, sind dessen Voraussetzungen, die konkret verletzte Pflicht, der Verschuldensmaßstab und der Zusammenhang mit dem Verlust eigenständig zu prüfen. Die Klägerin bestreitet ein pauschal aus der Zugangsdatenverwendung abgeleitetes Anerkenntnis. Die technische Erfassung eines Auftrags ersetzt nicht die Prüfung, ob die Klägerin die streitige Zahlung autorisierte. Nach § 675w Satz 1 BGB hat die Beklagte die Authentifizierung sowie die ordnungsgemäße, störungsfreie Erfassung und Verbuchung nachzuweisen. Die bloße Nutzungsaufzeichnung beweist nach Satz 3 nicht notwendigerweise die Autorisierung. Satz 4 verlangt unterstützende Beweismittel für einen Betrugs-, Vorsatz- oder groben Fahrlässigkeitsvorwurf. Für ein späteres Ersatzverlangen nach § 675v Absatz 3 BGB sind der kausale Pflichtverstoß und das Verschulden gesondert darzulegen; Absatz 4 ist nach Aufklärung der starken Kundenauthentifizierung mitzuprüfen. [Etwaige konkret erklärte Gegenrechte anhand des späteren Bankvortrags einarbeiten.]</w:t>
      </w:r>
    </w:p>
    <w:p>
      <w:pPr>
        <w:pStyle w:val="Heading1"/>
      </w:pPr>
      <w:r>
        <w:t>5. Noch benötigte Belege und Anlagen</w:t>
      </w:r>
    </w:p>
    <w:p>
      <w:pPr/>
      <w:r>
        <w:t>Die vollständigen Bankprotokolle zu Anmeldung, Gerät, Authentifizierung und Freigabe liegen nicht vor. Die Klägerin berichtet von der Eingabe eines per SMS erhaltenen Codes auf der nachgeahmten Seite. Dessen vollständiger Begleittext und technische Funktion sind nicht gesichert; daraus wird keine Autorisierung der streitigen Zahlung abgeleitet. Nach Eingang der Stellungnahme der Beklagten ist zu konkretisieren, welche entscheidungserheblichen Tatsachen bestritten werden und welche prozessual zulässige Beweisaufnahme hierfür beantragt werden soll. [Ein konkreter Antrag auf Urkundenvorlage setzt die zu bezeichnende Unterlage und die Verfahrensvoraussetzungen voraus; vor Einreichung ausformulieren.]</w:t>
      </w:r>
    </w:p>
    <w:p>
      <w:pPr/>
      <w:r>
        <w:t>Anlagen K1 bis K8 entsprechen der Zuordnung im Erstattungsentwurf. K8 ist die Vollmacht; ihre Vorlage beantwortet keine Frage zur Zahlungsautorisierung. Gerichtliche Zuständigkeit, Vertretung der Beklagten, vollständiger Antrag, aktueller Kontostand, Kosten und anwaltliche Freigabe sind vor Einreichung zu prüfen.</w:t>
      </w:r>
    </w:p>
    <w:p>
      <w:pPr/>
      <w:r>
        <w:t>Daria Fenchel, Rechtsanwältin</w:t>
      </w:r>
    </w:p>
    <w:sectPr w:rsidR="00FC693F" w:rsidRPr="0006063C" w:rsidSect="00034616">
      <w:footerReference w:type="default" r:id="rId9"/>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t xml:space="preserve">DF 166/26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80" w:line="259" w:lineRule="auto"/>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80" w:line="259" w:lineRule="auto"/>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59" w:lineRule="auto"/>
      <w:contextualSpacing/>
    </w:pPr>
    <w:rPr>
      <w:rFonts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Entwurf</dc:title>
  <dc:subject/>
  <dc:creator>Kanzlei Fenchel</dc:creator>
  <cp:keywords/>
  <dc:description>generated by python-docx</dc:description>
  <cp:lastModifiedBy/>
  <cp:revision>1</cp:revision>
  <dcterms:created xsi:type="dcterms:W3CDTF">2026-10-16T00:00:00Z</dcterms:created>
  <dcterms:modified xsi:type="dcterms:W3CDTF">2026-10-16T00:00:00Z</dcterms:modified>
  <cp:category/>
  <dc:language>de-DE</dc:language>
</cp:coreProperties>
</file>