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Perlwerk Systems GmbH</w:t>
        <w:br/>
        <w:t>Vertragsmanagement | Hamburg</w:t>
        <w:br/>
        <w:t>vertrag@perlwerk.example</w:t>
      </w:r>
    </w:p>
    <w:p>
      <w:r>
        <w:t>Hafenfaden Handelslogistik GmbH</w:t>
        <w:br/>
        <w:t>Schutenweg 14, 20457 Hamburg</w:t>
      </w:r>
    </w:p>
    <w:p>
      <w:r>
        <w:t>Hamburg, 24. September 2026</w:t>
      </w:r>
    </w:p>
    <w:p>
      <w:pPr>
        <w:pStyle w:val="Title"/>
      </w:pPr>
      <w:r>
        <w:t>Nutzungsvertrag Lagerportal Fassung 2</w:t>
      </w:r>
    </w:p>
    <w:p>
      <w:pPr>
        <w:pStyle w:val="Heading2"/>
      </w:pPr>
      <w:r>
        <w:t>1. Vertragsparteien und Leistung</w:t>
      </w:r>
    </w:p>
    <w:p>
      <w:r>
        <w:t>Perlwerk Systems GmbH, vertreten durch Geschäftsführer Fridolin Auer, stellt Hafenfaden Handelslogistik GmbH das Lagerportal für 40 namentlich verwaltete Benutzer zur Verfügung. Der erste Standort ist das Lager Schutenweg. Die bestehende Warenwirtschaft bleibt führend für Bestände und Rechnungsstellung. Die Schnittstelle ist in Anlage 1 beschrieben. Die vertragsgegenständliche Nutzung beginnt am 1. November 2026.</w:t>
      </w:r>
    </w:p>
    <w:p>
      <w:pPr>
        <w:pStyle w:val="Heading2"/>
      </w:pPr>
      <w:r>
        <w:t>2. Vergütung</w:t>
      </w:r>
    </w:p>
    <w:p>
      <w:r>
        <w:t>Die laufende Vergütung beträgt 24000 Euro netto pro Vertragsjahr. Die Einrichtung und einmalige Migration kosten 14800 Euro netto. Die Einrichtung wird zur Hälfte bei Auftrag und zur Hälfte nach dokumentiertem Funktionstest abgerechnet. Die laufende Vergütung ist monatlich mit 2000 Euro netto zum Monatsende fällig. Umsatzsteuer kommt in gesetzlicher Höhe hinzu. Zusätzliche Standorte und Benutzer bedürfen einer gesonderten Vereinbarung.</w:t>
      </w:r>
    </w:p>
    <w:p>
      <w:pPr>
        <w:pStyle w:val="Heading2"/>
      </w:pPr>
      <w:r>
        <w:t>3. Funktionsprüfung</w:t>
      </w:r>
    </w:p>
    <w:p>
      <w:r>
        <w:t>Vor Beginn der produktiven Nutzung werden Wareneingang, Umbuchung und Versand im Testsystem gemeinsam durchgeführt. Abweichungen werden mit Datum und Beispieldatensatz dokumentiert. Der Anbieter erhält Gelegenheit zur Korrektur. Die Nutzung einzelner Funktionen während des Probebetriebs gilt nicht als abschließende Bestätigung sämtlicher Funktionen. Welche rechtliche Bedeutung dem Funktionstest für die Einrichtung zukommt, ist in der abschließenden Vertragsfassung ausdrücklich zu regeln.</w:t>
      </w:r>
    </w:p>
    <w:p>
      <w:pPr>
        <w:pStyle w:val="Heading2"/>
      </w:pPr>
      <w:r>
        <w:t>4. Betrieb und Unterstützung</w:t>
      </w:r>
    </w:p>
    <w:p>
      <w:r>
        <w:t>Der Support ist an Werktagen Montag bis Freitag zwischen 8 und 18 Uhr erreichbar. Eine Meldung, die sämtliche Lagerbuchungen verhindert, wird binnen zwei Stunden bestätigt. Eine Bestätigung ist noch keine zugesagte Behebung. Wartungsfenster werden mindestens fünf Werktage vorher angekündigt. Einzelheiten zur Verfügbarkeit und zur Wiederherstellung ergeben sich aus Anlage 2, die dem vorliegenden Entwurf noch nicht beigefügt ist.</w:t>
      </w:r>
    </w:p>
    <w:p>
      <w:pPr>
        <w:pStyle w:val="Heading2"/>
      </w:pPr>
      <w:r>
        <w:t>5. Laufzeit und Daten</w:t>
      </w:r>
    </w:p>
    <w:p>
      <w:r>
        <w:t>Die Mindestlaufzeit beträgt zwölf Monate. Die weitere Laufzeit und die Kündigungsfrist sind noch zu vereinbaren. Bei Vertragsende werden die vom Kunden eingegebenen Geschäftsdaten in einem dokumentierten CSV-Export herausgegeben. Eine Aufbewahrungspflicht des Kunden wird hierdurch nicht ersetzt. Personenbezogene Benutzerinformationen werden nur im vereinbarten Umfang verarbeitet; die gesonderte Vereinbarung hierzu ist noch nicht abgeschlossen.</w:t>
      </w:r>
    </w:p>
    <w:p>
      <w:pPr>
        <w:pStyle w:val="Heading2"/>
      </w:pPr>
      <w:r>
        <w:t>6. Haftung und Unterschriften</w:t>
      </w:r>
    </w:p>
    <w:p>
      <w:r>
        <w:t>Die Haftungsregelung bleibt der Schlussabstimmung vorbehalten. Der Kunde hat in seinem Rücklauf eine Beschränkung auf typische vorhersehbare Schäden unter Wahrung zwingender Haftung vorgeschlagen. Aus dieser Entwurfsfassung kann keine bereits getroffene Vereinbarung abgeleitet werden. Für Perlwerk: Fridolin Auer. Für Hafenfaden: Kunigunde Heller. Unterschriftsfelder sind unbesetzt. Anlagen: 1 Schnittstellenumfang, 2 Betriebsbedingungen. Beide Anlagen müssen mit dem Vertrag abgestimmt werden.</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H-26-073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Perlwerk Systems GmbH | H-26-073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Nutzungsvertrag Lagerportal Fassung 2</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