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Eberwin Hartung</w:t>
        <w:br/>
        <w:t>Mandat M-26-218</w:t>
        <w:br/>
        <w:t>Sekretariat Walburga Kern</w:t>
      </w:r>
    </w:p>
    <w:p>
      <w:r>
        <w:t>Rechtsanwalt Hartung</w:t>
      </w:r>
    </w:p>
    <w:p>
      <w:r>
        <w:t>München, 8. Oktober 2026</w:t>
      </w:r>
    </w:p>
    <w:p>
      <w:pPr>
        <w:pStyle w:val="Title"/>
      </w:pPr>
      <w:r>
        <w:t>Unterlagenstand nach dem Urteil</w:t>
      </w:r>
    </w:p>
    <w:p>
      <w:r>
        <w:t>Das Urteil und der Zustellungsvermerk sind vorhanden. Der Auftrag zur Prozessführung wurde am 10. Juni 2026 erteilt. Ein gesonderter Vollstreckungsauftrag liegt nach der heutigen E-Mail noch nicht vor; verlangt ist zunächst eine Vorbereitung mit Kostenangabe. Die Vollmacht umfasst die Prozessführung. Eine ergänzende Weisung zu Ratenvereinbarungen ist nicht abgelegt.</w:t>
      </w:r>
    </w:p>
    <w:p>
      <w:r>
        <w:t>Die Zahlung von 6000 Euro ist durch Bankexport und Bestätigung des Mandanten belegt. Die Tilgung auf die Hauptforderung wurde am 23. September vereinbart. Zinsberechnung und Kostenaufstellung sind noch nicht gefertigt. Eine endgültige Gebührenrechnung ist nicht abgelegt. Vorhanden ist die Vorschussrechnung über 600 Euro netto zuzüglich Umsatzsteuer.</w:t>
      </w:r>
    </w:p>
    <w:p>
      <w:r>
        <w:t>Frau Waldhorn fragte telefonisch, ob sie direkt an die Kanzlei zahlen solle. Das Sekretariat hat keine neue Bankverbindung genannt und an den Rechtsanwalt verwiesen. Der Mandant wünscht vorher eine schriftliche Erklärung des weiteren Ablaufs. Die gefundene Kontonotiz stammt aus einem älteren Kontaktvorgang und ist nicht als Geschäftskonto bestätigt.</w:t>
      </w:r>
    </w:p>
    <w:p>
      <w:r>
        <w:t>Für den Gerichtskostenvorschuss muss der Kassenbeleg aus der Papierhandakte beigezogen werden. Herr Hartung nahm den Verhandlungstermin am 14. August wahr; die Terminsnotiz ist in der führenden Akte. Eine Berufungsschrift oder Nachricht über eine Rechtsmitteleinlegung liegt am 8. Oktober um 16 Uhr nicht vor. Daraus wird im Sekretariat keine Aussage über Rechtskraft abgeleitet. Notiert von Walburga Kern.</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M-26-218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Kanzlei Eberwin Hartung | M-26-218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Unterlagenstand nach dem Urteil</dc:title>
  <dc:subject/>
  <dc:creator>Klotzkette</dc:creator>
  <cp:keywords/>
  <dc:description>generated by python-docx</dc:description>
  <cp:lastModifiedBy>Klotzkette</cp:lastModifiedBy>
  <cp:revision>1</cp:revision>
  <dcterms:created xsi:type="dcterms:W3CDTF">2026-10-09T00:00:00Z</dcterms:created>
  <dcterms:modified xsi:type="dcterms:W3CDTF">2026-10-09T00:00:00Z</dcterms:modified>
  <cp:category/>
</cp:coreProperties>
</file>