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Leander Tann</w:t>
        <w:br/>
        <w:t>Prozessbevollmächtigter Zinnober Veranstaltungen GmbH</w:t>
        <w:br/>
        <w:t>post@kanzlei-tann.example</w:t>
      </w:r>
    </w:p>
    <w:p>
      <w:r>
        <w:t>Landgericht Berlin II</w:t>
        <w:br/>
        <w:t>25 O 184/26</w:t>
      </w:r>
    </w:p>
    <w:p>
      <w:r>
        <w:t>Berlin, 23. September 2026</w:t>
      </w:r>
    </w:p>
    <w:p>
      <w:pPr>
        <w:pStyle w:val="Title"/>
      </w:pPr>
      <w:r>
        <w:t>Stellungnahme der Beklagten</w:t>
      </w:r>
    </w:p>
    <w:p>
      <w:r>
        <w:t>Namens der Beklagten halten wir am Antrag auf Klageabweisung fest. Die Beklagte hat am 21. September 5000 Euro auf den nach Gutschrift verbliebenen Hauptbetrag gezahlt. Die Klägerin wird aufgefordert, dies bei ihren Anträgen zu berücksichtigen. Die Zahlung bedeutet keine Zustimmung zum übrigen Vortrag.</w:t>
      </w:r>
    </w:p>
    <w:p>
      <w:r>
        <w:t>Die Beklagte bestreitet eine Abnahme am 12. April. Frau Falkenried musste die Halle verlassen, bevor die Beleuchtung geprüft werden konnte. Am nächsten Morgen flackerte eine Leuchte. Der Messestand war zwar im Übrigen benutzbar; die Beklagte hatte aber durch den technischen Einsatz zusätzlichen Aufwand. Sie behauptet einen weiteren Nachteil von 2400 Euro. Eine abschließende Belegaufstellung liegt noch nicht vor.</w:t>
      </w:r>
    </w:p>
    <w:p>
      <w:r>
        <w:t>Die Klägerin möge den Auftrag über die zusätzlichen Leuchten vorlegen. Die Gutschrift beseitigt nach Auffassung der Beklagten nicht sämtliche Folgen der unzureichenden Beleuchtung. Beweis für den Ablauf der Durchsicht: Zeugnis der Gundula Falkenried, zu laden über die Beklagte. Frau Falkenried ist Projektleiterin, nicht Geschäftsführerin. Gesetzlicher Vertreter ist Balduin Plötz.</w:t>
      </w:r>
    </w:p>
    <w:p>
      <w:r>
        <w:t>Für eine Verständigung ist die Beklagte grundsätzlich offen. Ein konkretes Angebot wird gegenwärtig nicht abgegeben. Leander Tann, Rechtsanwalt. Anlage B1: Überweisungsbestätigung vom 21. September über 5000 Euro.</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B-26-184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Rechtsanwalt Leander Tann | B-26-184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der Beklagten</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