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Gesellschaftsvertrag Speichenraum</w:t>
      </w:r>
    </w:p>
    <w:p>
      <w:pPr>
        <w:widowControl/>
        <w:jc w:val="left"/>
      </w:pPr>
      <w:r>
        <w:rPr>
          <w:color w:val="000000"/>
        </w:rPr>
        <w:t>Fassung von Olav Norden vom 27. September 2026, versandt zur Besprechung. Noch nicht unterschrieben.</w:t>
      </w:r>
    </w:p>
    <w:p>
      <w:pPr>
        <w:pStyle w:val="Heading2"/>
        <w:widowControl/>
      </w:pPr>
      <w:r>
        <w:rPr>
          <w:rFonts w:ascii="Times New Roman" w:hAnsi="Times New Roman"/>
          <w:color w:val="000000"/>
        </w:rPr>
        <w:t>1. Beteiligte und Geschäft</w:t>
      </w:r>
    </w:p>
    <w:p>
      <w:pPr>
        <w:widowControl/>
        <w:jc w:val="left"/>
      </w:pPr>
      <w:r>
        <w:rPr>
          <w:color w:val="000000"/>
        </w:rPr>
        <w:t>Selma Berendt, Spinnereibogen 6, 04229 Leipzig, Olav Norden, Kanalsteg 21, 04229 Leipzig, und Miro Falkenberg, Uferwinkel 8, 04229 Leipzig, betreiben ab 9. November 2026 gemeinsam Speichenraum GbR am Lagertorweg 14 in Leipzig. Zum Geschäft gehören der Verleih von Lastenrädern, der Verkauf von Zubehör und die Annahme von Reparaturaufträgen. Mechanische Arbeiten führt die Werkstatt von Enno Seldner im Nachbarhof aus. Wir stellen vorerst keinen Mechaniker ein. Ein Grundstück soll nicht gekauft werden.</w:t>
      </w:r>
    </w:p>
    <w:p>
      <w:pPr>
        <w:pStyle w:val="Heading2"/>
        <w:widowControl/>
      </w:pPr>
      <w:r>
        <w:rPr>
          <w:rFonts w:ascii="Times New Roman" w:hAnsi="Times New Roman"/>
          <w:color w:val="000000"/>
        </w:rPr>
        <w:t>2. Beiträge und Beteiligung</w:t>
      </w:r>
    </w:p>
    <w:p>
      <w:pPr>
        <w:widowControl/>
        <w:jc w:val="left"/>
      </w:pPr>
      <w:r>
        <w:rPr>
          <w:color w:val="000000"/>
        </w:rPr>
        <w:t>Selma zahlt 12000 EUR und Olav 6000 EUR auf das noch zu eröffnende Geschäftskonto. Miro zahlt kein Geld, sondern bringt seine Mitarbeit ein. Gewinne und Verluste werden zu 50 Prozent Selma, zu 30 Prozent Olav und zu 20 Prozent Miro zugerechnet. Die Beträge sind binnen zehn Tagen nach Unterzeichnung einzuzahlen.</w:t>
      </w:r>
    </w:p>
    <w:p>
      <w:pPr>
        <w:widowControl/>
        <w:jc w:val="left"/>
      </w:pPr>
      <w:r>
        <w:rPr>
          <w:color w:val="000000"/>
        </w:rPr>
        <w:t>Olav bringt außerdem drei Lastenräder und einen Montageständer ein. Der Wert beträgt zusammen 4500 EUR. Nach Ende der Zusammenarbeit erhält Olav diese Sachen zurück. Verschleiß während der Nutzung wird nicht ausgeglichen. Selma stellt ihren privaten Laptop für die Buchungen bereit und darf ihn abends mitnehmen. Die Internetadresse hat Miro für ein Jahr bezahlt. Sie bleibt auf seinen Namen registriert.</w:t>
      </w:r>
    </w:p>
    <w:p>
      <w:pPr>
        <w:pStyle w:val="Heading2"/>
        <w:widowControl/>
      </w:pPr>
      <w:r>
        <w:rPr>
          <w:rFonts w:ascii="Times New Roman" w:hAnsi="Times New Roman"/>
          <w:color w:val="000000"/>
        </w:rPr>
        <w:t>3. Arbeit und Vertretung</w:t>
      </w:r>
    </w:p>
    <w:p>
      <w:pPr>
        <w:widowControl/>
        <w:jc w:val="left"/>
      </w:pPr>
      <w:r>
        <w:rPr>
          <w:color w:val="000000"/>
        </w:rPr>
        <w:t>Alle drei arbeiten im erforderlichen Umfang mit, Miro grundsätzlich ganztags. Selma übernimmt Verkauf und Vermietung, Olav Einkauf und Übergaben, Miro Website und Buchhaltung. Jeder darf allein für die GbR unterschreiben. Vor Ausgaben über 50000 EUR müssen alle zustimmen. Gegenüber Lieferanten haftet jeder nur bis zur Höhe seines Beitrags. Diese Regel soll auf die erste Seite der Bestellungen gedruckt werden.</w:t>
      </w:r>
    </w:p>
    <w:p>
      <w:pPr>
        <w:widowControl/>
        <w:jc w:val="left"/>
      </w:pPr>
      <w:r>
        <w:rPr>
          <w:color w:val="000000"/>
        </w:rPr>
        <w:t>Die Öffnungszeiten sind Dienstag bis Samstag, 10 bis 18 Uhr. Urlaub trägt jeder in den gemeinsamen Kalender ein. Für Krankheit wird die bisherige Gewinnverteilung beibehalten. Eine besondere Vergütung für Mehrarbeit gibt es nicht. Eine Vertretungskraft darf jeder selbst bestellen.</w:t>
      </w:r>
    </w:p>
    <w:p>
      <w:pPr>
        <w:pStyle w:val="Heading2"/>
        <w:pageBreakBefore/>
        <w:widowControl/>
      </w:pPr>
      <w:r>
        <w:rPr>
          <w:rFonts w:ascii="Times New Roman" w:hAnsi="Times New Roman"/>
          <w:color w:val="000000"/>
        </w:rPr>
        <w:t>4. Entnahmen und Entscheidungen</w:t>
      </w:r>
    </w:p>
    <w:p>
      <w:pPr>
        <w:widowControl/>
        <w:jc w:val="left"/>
      </w:pPr>
      <w:r>
        <w:rPr>
          <w:color w:val="000000"/>
        </w:rPr>
        <w:t>Ab dem ersten vollen Betriebsmonat kann jeder monatlich 1200 EUR entnehmen, wenn Geld auf dem Konto ist. Über die Jahresentnahmen hinausgehende Gewinne werden im Februar verteilt. Steuerzahlungen erledigt jeder selbst. Beschlüsse erfolgen nach den oben genannten Beteiligungsquoten. Bei Gleichstand entscheidet Selma. Der Abschluss des Mietvertrags ist mit diesem Vertrag bereits genehmigt.</w:t>
      </w:r>
    </w:p>
    <w:p>
      <w:pPr>
        <w:pStyle w:val="Heading2"/>
        <w:widowControl/>
      </w:pPr>
      <w:r>
        <w:rPr>
          <w:rFonts w:ascii="Times New Roman" w:hAnsi="Times New Roman"/>
          <w:color w:val="000000"/>
        </w:rPr>
        <w:t>5. Ausscheiden und Fortführung</w:t>
      </w:r>
    </w:p>
    <w:p>
      <w:pPr>
        <w:widowControl/>
        <w:jc w:val="left"/>
      </w:pPr>
      <w:r>
        <w:rPr>
          <w:color w:val="000000"/>
        </w:rPr>
        <w:t>Jeder kann mit zwei Wochen Vorlauf zum Monatsende aufhören. Die anderen führen das Geschäft weiter. Der ausscheidende Gesellschafter erhält seine Bareinzahlung ohne Zinsen innerhalb von drei Monaten zurück. Offene Kundenbuchungen gehen auf die übrigen Gesellschafter über. Wer aussteigt, darf zwei Jahre lang in Leipzig keinen anderen Fahrradverleih betreiben.</w:t>
      </w:r>
    </w:p>
    <w:p>
      <w:pPr>
        <w:widowControl/>
        <w:jc w:val="left"/>
      </w:pPr>
      <w:r>
        <w:rPr>
          <w:color w:val="000000"/>
        </w:rPr>
        <w:t>Beim Tod eines Gesellschafters sollen die Erben den eingezahlten Betrag erhalten, aber nicht mitarbeiten. Für Krankheit von mehr als sechs Wochen finden wir im Gespräch eine Lösung. Bis dahin bleibt alles unverändert.</w:t>
      </w:r>
    </w:p>
    <w:p>
      <w:pPr>
        <w:pStyle w:val="Heading2"/>
        <w:widowControl/>
      </w:pPr>
      <w:r>
        <w:rPr>
          <w:rFonts w:ascii="Times New Roman" w:hAnsi="Times New Roman"/>
          <w:color w:val="000000"/>
        </w:rPr>
        <w:t>6. Abschluss</w:t>
      </w:r>
    </w:p>
    <w:p>
      <w:pPr>
        <w:widowControl/>
        <w:jc w:val="left"/>
      </w:pPr>
      <w:r>
        <w:rPr>
          <w:color w:val="000000"/>
        </w:rPr>
        <w:t>Änderungen werden im gemeinsamen Chat festgehalten. Jeder erhält eine unterschriebene Ausfertigung. Weitere Anlagen sind nicht vereinbart. Die Mietfläche, Versicherungen und das Geschäftskonto werden nach Unterzeichnung organisiert.</w:t>
      </w:r>
    </w:p>
    <w:p>
      <w:pPr>
        <w:widowControl/>
        <w:jc w:val="left"/>
      </w:pPr>
      <w:r>
        <w:rPr>
          <w:color w:val="000000"/>
        </w:rPr>
        <w:t>Leipzig, Datum und Unterschriften bei gemeinsamer Besprechung.</w:t>
      </w:r>
    </w:p>
    <w:sectPr w:rsidR="00FC693F" w:rsidRPr="0006063C" w:rsidSect="00034616">
      <w:footerReference w:type="default" r:id="rId9"/>
      <w:head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2D4146"/>
        <w:sz w:val="2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