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Angebot Pumpenfenster 2 Punkt 4</w:t>
      </w:r>
    </w:p>
    <w:p>
      <w:pPr>
        <w:widowControl/>
        <w:jc w:val="left"/>
      </w:pPr>
      <w:r>
        <w:rPr>
          <w:color w:val="000000"/>
        </w:rPr>
        <w:t>Taktfaden Software GmbH | Turbinenbogen 8 | 28217 Bremen</w:t>
      </w:r>
    </w:p>
    <w:p>
      <w:pPr>
        <w:widowControl/>
        <w:jc w:val="left"/>
      </w:pPr>
      <w:r>
        <w:rPr>
          <w:color w:val="000000"/>
        </w:rPr>
        <w:t>Nordspange Anlagenservice GmbH | Einkauf | Pumpenhof 16 | 28197 Bremen</w:t>
      </w:r>
    </w:p>
    <w:p>
      <w:pPr>
        <w:widowControl/>
        <w:jc w:val="left"/>
      </w:pPr>
      <w:r>
        <w:rPr>
          <w:color w:val="000000"/>
        </w:rPr>
        <w:t>Bremen, 24. September 2026 | Angebot TF-260924 | Kontakt Jaro Kessner</w:t>
      </w:r>
    </w:p>
    <w:p>
      <w:pPr>
        <w:widowControl/>
        <w:jc w:val="left"/>
      </w:pPr>
      <w:r>
        <w:rPr>
          <w:color w:val="000000"/>
        </w:rPr>
        <w:t>Sehr geehrter Herr Uhlenbruch,</w:t>
      </w:r>
    </w:p>
    <w:p>
      <w:pPr>
        <w:widowControl/>
        <w:jc w:val="left"/>
      </w:pPr>
      <w:r>
        <w:rPr>
          <w:color w:val="000000"/>
        </w:rPr>
        <w:t>wir bieten Ihnen Pumpenfenster 2.4 für Ihre eigene Wartungsorganisation an. Grundlage ist der Versuch vom 17. September mit Ihren CSV-Dateien der Geräte P40 und P42. Das Angebot umfasst den Import dieser beiden Formate, die Verwaltung von Pumpenkennungen, Grenzwertanzeigen und PDF-Berichte in deutscher Sprache. Die Software trifft keine automatische Abschaltentscheidung und steuert keine Maschine.</w:t>
      </w:r>
    </w:p>
    <w:tbl>
      <w:tblPr>
        <w:tblStyle w:val="TableGrid"/>
        <w:tblW w:type="auto" w:w="0"/>
        <w:tblLayout w:type="fixed"/>
        <w:tblLook w:firstColumn="1" w:firstRow="1" w:lastColumn="0" w:lastRow="0" w:noHBand="0" w:noVBand="1" w:val="04A0"/>
      </w:tblPr>
      <w:tblGrid>
        <w:gridCol w:w="5669"/>
        <w:gridCol w:w="1134"/>
        <w:gridCol w:w="2268"/>
      </w:tblGrid>
      <w:tr>
        <w:trPr>
          <w:cantSplit/>
          <w:tblHeader/>
          <w:cantSplit/>
          <w:tblHeader/>
          <w:cantSplit/>
          <w:tblHeader/>
        </w:trPr>
        <w:tc>
          <w:tcPr>
            <w:tcW w:type="dxa" w:w="5669"/>
          </w:tcPr>
          <w:p>
            <w:r>
              <w:rPr>
                <w:rFonts w:ascii="Times New Roman" w:hAnsi="Times New Roman"/>
                <w:b/>
                <w:sz w:val="20"/>
              </w:rPr>
              <w:t>Leistung</w:t>
            </w:r>
          </w:p>
        </w:tc>
        <w:tc>
          <w:tcPr>
            <w:tcW w:type="dxa" w:w="1134"/>
          </w:tcPr>
          <w:p>
            <w:r>
              <w:rPr>
                <w:rFonts w:ascii="Times New Roman" w:hAnsi="Times New Roman"/>
                <w:b/>
                <w:sz w:val="20"/>
              </w:rPr>
              <w:t>Menge</w:t>
            </w:r>
          </w:p>
        </w:tc>
        <w:tc>
          <w:tcPr>
            <w:tcW w:type="dxa" w:w="2268"/>
          </w:tcPr>
          <w:p>
            <w:r>
              <w:rPr>
                <w:rFonts w:ascii="Times New Roman" w:hAnsi="Times New Roman"/>
                <w:b/>
                <w:sz w:val="20"/>
              </w:rPr>
              <w:t>Netto EUR</w:t>
            </w:r>
          </w:p>
        </w:tc>
      </w:tr>
      <w:tr>
        <w:trPr>
          <w:cantSplit/>
          <w:cantSplit/>
          <w:cantSplit/>
        </w:trPr>
        <w:tc>
          <w:tcPr>
            <w:tcW w:type="dxa" w:w="5669"/>
          </w:tcPr>
          <w:p>
            <w:r>
              <w:rPr>
                <w:rFonts w:ascii="Times New Roman" w:hAnsi="Times New Roman"/>
                <w:sz w:val="20"/>
              </w:rPr>
              <w:t>Dauerhafte einfache Lizenz, Nordspange Anlagenservice GmbH, 24 namentliche Benutzer an vier Standorten</w:t>
            </w:r>
          </w:p>
        </w:tc>
        <w:tc>
          <w:tcPr>
            <w:tcW w:type="dxa" w:w="1134"/>
          </w:tcPr>
          <w:p>
            <w:r>
              <w:rPr>
                <w:rFonts w:ascii="Times New Roman" w:hAnsi="Times New Roman"/>
                <w:sz w:val="20"/>
              </w:rPr>
              <w:t>1</w:t>
            </w:r>
          </w:p>
        </w:tc>
        <w:tc>
          <w:tcPr>
            <w:tcW w:type="dxa" w:w="2268"/>
          </w:tcPr>
          <w:p>
            <w:r>
              <w:rPr>
                <w:rFonts w:ascii="Times New Roman" w:hAnsi="Times New Roman"/>
                <w:sz w:val="20"/>
              </w:rPr>
              <w:t>18000,00</w:t>
            </w:r>
          </w:p>
        </w:tc>
      </w:tr>
      <w:tr>
        <w:trPr>
          <w:cantSplit/>
          <w:cantSplit/>
          <w:cantSplit/>
        </w:trPr>
        <w:tc>
          <w:tcPr>
            <w:tcW w:type="dxa" w:w="5669"/>
          </w:tcPr>
          <w:p>
            <w:r>
              <w:rPr>
                <w:rFonts w:ascii="Times New Roman" w:hAnsi="Times New Roman"/>
                <w:sz w:val="20"/>
              </w:rPr>
              <w:t>Installation auf Ihrem Server und zwei Schulungstage</w:t>
            </w:r>
          </w:p>
        </w:tc>
        <w:tc>
          <w:tcPr>
            <w:tcW w:type="dxa" w:w="1134"/>
          </w:tcPr>
          <w:p>
            <w:r>
              <w:rPr>
                <w:rFonts w:ascii="Times New Roman" w:hAnsi="Times New Roman"/>
                <w:sz w:val="20"/>
              </w:rPr>
              <w:t>1</w:t>
            </w:r>
          </w:p>
        </w:tc>
        <w:tc>
          <w:tcPr>
            <w:tcW w:type="dxa" w:w="2268"/>
          </w:tcPr>
          <w:p>
            <w:r>
              <w:rPr>
                <w:rFonts w:ascii="Times New Roman" w:hAnsi="Times New Roman"/>
                <w:sz w:val="20"/>
              </w:rPr>
              <w:t>4800,00</w:t>
            </w:r>
          </w:p>
        </w:tc>
      </w:tr>
    </w:tbl>
    <w:p>
      <w:pPr>
        <w:widowControl/>
        <w:jc w:val="left"/>
      </w:pPr>
      <w:r>
        <w:rPr>
          <w:color w:val="000000"/>
        </w:rPr>
        <w:t>Einmalige Nettosumme: 22800,00 EUR. Umsatzsteuer 19 Prozent: 4332,00 EUR. Einmalige Bruttosumme: 27132,00 EUR.</w:t>
      </w:r>
    </w:p>
    <w:p>
      <w:pPr>
        <w:widowControl/>
        <w:jc w:val="left"/>
      </w:pPr>
      <w:r>
        <w:rPr>
          <w:color w:val="000000"/>
        </w:rPr>
        <w:t>Optional bieten wir Support für 300,00 EUR netto monatlich zuzüglich 57,00 EUR Umsatzsteuer an. Er umfasst Rückmeldungen werktags Montag bis Freitag von 9 bis 17 Uhr binnen eines Arbeitstags und Fehlerkorrekturen der vereinbarten Version. Weitere Geräteformate, Vor-Ort-Einsätze und neue Hauptversionen sind nicht enthalten. Die Mindestlaufzeit dieses gesonderten Pakets beträgt zwölf Monate. Der Lizenzkauf setzt den Abschluss des Pakets nicht voraus.</w:t>
      </w:r>
    </w:p>
    <w:p>
      <w:pPr>
        <w:widowControl/>
        <w:jc w:val="left"/>
      </w:pPr>
      <w:r>
        <w:rPr>
          <w:color w:val="000000"/>
        </w:rPr>
        <w:t>Sie betreiben die Anwendung auf Ihrem eigenen Server. Wir erhalten keinen dauerhaften Fernzugang. Datensicherung und Serverbetrieb übernehmen Sie. Für die Installation und spätere Supportzugriffe wird ein zeitlich begrenzter Zugang einzeln freigegeben. Berichte dürfen Sie Ihren Wartungskunden übergeben; eine Überlassung der Software an diese Kunden oder andere Gesellschaften ist nicht angeboten.</w:t>
      </w:r>
    </w:p>
    <w:p>
      <w:pPr>
        <w:widowControl/>
        <w:jc w:val="left"/>
      </w:pPr>
      <w:r>
        <w:rPr>
          <w:color w:val="000000"/>
        </w:rPr>
        <w:t>Das Programm enthält das von Lea Winkler entwickelte Importmodul. Wir klären die hierfür erforderliche Erweiterung der bisherigen Projektvereinbarung vor endgültiger Zusage. Quelltextüberlassung und Weitervertrieb sind in diesem Preis nicht enthalten. Eine verbindliche Lizenzdatei für den Regelbetrieb ist noch nicht ausgegeben.</w:t>
      </w:r>
    </w:p>
    <w:p>
      <w:pPr>
        <w:widowControl/>
        <w:jc w:val="left"/>
      </w:pPr>
      <w:r>
        <w:rPr>
          <w:color w:val="000000"/>
        </w:rPr>
        <w:t>Vorgesehen sind 50 Prozent des einmaligen Entgelts nach schriftlicher Bestellung und 50 Prozent nach erfolgreichem vereinbartem Funktionstest. Der Liefertermin hängt von der Einigung über Umfang und Rechte sowie der Bereitstellung Ihres Servers ab. Bitte verstehen Sie den 15. Oktober daher als Wunschdatum, nicht als bereits bestätigten Termin.</w:t>
      </w:r>
    </w:p>
    <w:p>
      <w:pPr>
        <w:keepNext/>
        <w:widowControl/>
        <w:jc w:val="left"/>
      </w:pPr>
      <w:r>
        <w:rPr>
          <w:color w:val="000000"/>
        </w:rPr>
        <w:t>Freundliche Grüße</w:t>
      </w:r>
    </w:p>
    <w:p>
      <w:pPr>
        <w:widowControl/>
        <w:jc w:val="left"/>
      </w:pPr>
      <w:r>
        <w:rPr>
          <w:color w:val="000000"/>
        </w:rPr>
        <w:t>Jaro Kessner | Geschäftsführer | jaro.kessner@taktfaden.example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Taktfaden Software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