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Leistungsbeschreibung Linie 3</w:t>
      </w:r>
    </w:p>
    <w:p>
      <w:r>
        <w:t>LB-2618 Rev. 2 | 4. September 2026 | Bezug Angebot HP-2618</w:t>
      </w:r>
    </w:p>
    <w:p>
      <w:pPr>
        <w:pStyle w:val="Heading1"/>
        <w:keepNext/>
        <w:spacing w:after="0"/>
      </w:pPr>
      <w:r>
        <w:t>1 Mechanischer Lieferumfang</w:t>
      </w:r>
    </w:p>
    <w:p>
      <w:pPr>
        <w:keepNext/>
        <w:spacing w:before="0" w:after="0" w:line="220" w:lineRule="exact"/>
        <w:rPr>
          <w:sz w:val="22"/>
          <w:szCs w:val="22"/>
        </w:rPr>
      </w:pPr>
    </w:p>
    <w:p>
      <w:r>
        <w:t>Der Zweifachdosierer HP-D2 hat einen fahrbaren Edelstahlrahmen mit zwei synchronisierten Dosierachsen und je 650 ml maximalem Hubvolumen. Für das 500-g-Produkt werden zwei Becher pro Hub beschickt. Eine geregelte Vorschubstrecke übernimmt die leeren Becher am T1. Die bestehende Versiegelungsmaschine beginnt am T2. Helix liefert die verbindenden Bänder und eine Staustrecke für 28 Becher vor dem Versiegler. Der Bestandsetikettierer folgt nach dem Versiegler; Kamera und Ausschleuser liegen zwischen T3 und T4.</w:t>
      </w:r>
    </w:p>
    <w:p>
      <w:r>
        <w:t>Die Gesamtfläche der neuen Baugruppen beträgt 8,40 m in Förderrichtung und 2,40 m in der Tiefe einschließlich Umhausung. Der Bediengang auf der Südseite bleibt mit 1,20 m frei. Türen der Umhausung werden nach Norden geöffnet; dort ist ein Wartungsraum von 0,90 m erforderlich. Die Schaltschranktür liegt außerhalb des nassen Reinigungsbereichs. Förderhöhe ist 920 mm, einstellbar um 30 mm.</w:t>
      </w:r>
    </w:p>
    <w:p>
      <w:pPr>
        <w:pStyle w:val="Heading1"/>
        <w:keepNext/>
        <w:spacing w:after="0"/>
      </w:pPr>
      <w:r>
        <w:t>2 Steuerung und Kamera</w:t>
      </w:r>
    </w:p>
    <w:p>
      <w:pPr>
        <w:keepNext/>
        <w:spacing w:before="0" w:after="0" w:line="220" w:lineRule="exact"/>
        <w:rPr>
          <w:sz w:val="22"/>
          <w:szCs w:val="22"/>
        </w:rPr>
      </w:pPr>
    </w:p>
    <w:p>
      <w:r>
        <w:t>Helix liefert die Liniensteuerung mit 12-Zoll-Bedienpult, Rezepthandhabung für das 500-g-Produkt und Ereignisspeicher für 90 Tage. Der Speicher erfasst Stoppbeginn, Stoppende, auslösenden Kanal, aktives Rezept und Zählerstand. Wertau erhält einen CSV-Export über einen lokalen USB-Anschluss. Eine Verbindung zur Produktionsdatenbank von Wertau ist nicht enthalten.</w:t>
      </w:r>
    </w:p>
    <w:p>
      <w:r>
        <w:t>Optivis liefert eine fest montierte Farbkamera, Beleuchtung, Industrie-PC und Laufzeitlizenz der Bildauswertung. Das Bildfenster misst 110 mal 110 mm. Die Kamera prüft Deckel und Etikett von oben; das seitliche Druckbild wird über einen Spiegel erfasst. Ein vollständiges Lesen verschmutzter oder geknitterter Etiketten wird nicht zugesagt. Die eingereichten Originalrollen werden bis zur Werkprüfung zur Parametrierung verwendet.</w:t>
      </w:r>
    </w:p>
    <w:p>
      <w:pPr>
        <w:pStyle w:val="Heading1"/>
        <w:keepNext/>
        <w:spacing w:after="0"/>
      </w:pPr>
      <w:r>
        <w:t>3 Montage und Einweisung</w:t>
      </w:r>
    </w:p>
    <w:p>
      <w:pPr>
        <w:keepNext/>
        <w:spacing w:before="0" w:after="0" w:line="220" w:lineRule="exact"/>
        <w:rPr>
          <w:sz w:val="22"/>
          <w:szCs w:val="22"/>
        </w:rPr>
      </w:pPr>
    </w:p>
    <w:p>
      <w:r>
        <w:t>Der Preis enthält fünf Tage mechanische Montage mit drei Personen, fünf Tage Elektroinstallation mit zwei Personen und zehn Tage Inbetriebnahme mit einem Steuerungstechniker. Diese Ansätze begrenzen nicht die geschuldete Fertigstellung des vereinbarten Pakets. Vom Kunden verursachte Wartezeiten werden getrennt dokumentiert. Zwei Einweisungen von je vier Stunden sind vorgesehen; ein Termin wird in der Spätschicht durchgeführt.</w:t>
      </w:r>
    </w:p>
    <w:p>
      <w:r>
        <w:br w:type="page"/>
      </w:r>
    </w:p>
    <w:p>
      <w:pPr>
        <w:pStyle w:val="Heading1"/>
        <w:keepNext/>
        <w:spacing w:after="0"/>
      </w:pPr>
      <w:r>
        <w:t>4 Werkprüfung und Messbedingungen</w:t>
      </w:r>
    </w:p>
    <w:p>
      <w:pPr>
        <w:keepNext/>
        <w:spacing w:before="0" w:after="0" w:line="220" w:lineRule="exact"/>
        <w:rPr>
          <w:sz w:val="22"/>
          <w:szCs w:val="22"/>
        </w:rPr>
      </w:pPr>
    </w:p>
    <w:p>
      <w:r>
        <w:t>Die Werkprüfung dauert einen Arbeitstag. Der Dosierer läuft mit 120 kg Wertau-Produkt. Die Bestandsmaschinen werden durch Signalsimulatoren ersetzt. Geprüft werden Rezeptwechsel, Stillsetzung, Wiederanlauf, Ausfall der Druckluft und 80 markierte Kamerafehler. Gewichte aus mindestens zwölf Stichproben werden elektronisch übergeben. Diese Prüfung liefert noch keine Ausbringungszahl der verbundenen Bestandslinie.</w:t>
      </w:r>
    </w:p>
    <w:p>
      <w:r>
        <w:t>Am Standort wird ein vierstündiger Dauerlauf vorgeschlagen. Ausbringung und Ausschuss werden am T4 aus den Rohzählern bestimmt. Bei 90 Gutbechern je Minute sind während vier Stunden ungekürzter Messzeit 21.600 Gutbecher erforderlich. Der Vorschlag erfasst keinen zweiten Lauf nach Reinigung. Dieser Punkt sowie die Behandlung von Bestandsmaschinenstopps weichen vom Lastenheft Rev. 3 ab und wurden noch nicht mit Wertau abgestimmt.</w:t>
      </w:r>
    </w:p>
    <w:p>
      <w:pPr>
        <w:pStyle w:val="Heading1"/>
        <w:keepNext/>
        <w:spacing w:after="0"/>
      </w:pPr>
      <w:r>
        <w:t>5 Liefergrenzen</w:t>
      </w:r>
    </w:p>
    <w:p>
      <w:pPr>
        <w:keepNext/>
        <w:spacing w:before="0" w:after="0" w:line="220" w:lineRule="exact"/>
        <w:rPr>
          <w:sz w:val="22"/>
          <w:szCs w:val="22"/>
        </w:rPr>
      </w:pPr>
    </w:p>
    <w:p>
      <w:r>
        <w:t>Helix stellt Leitungen und Druckluftschläuche ab den Übergabepunkten des Schnittstellenbeiblatts. Eine neue zentrale Stromzuleitung, zusätzliche Entwässerung, die Anpassung des Hallenbrandschutzes und ein Umbau des internen Versieglerprogramms gehören nicht zum Preis. Auf Produktleitungen vor dem Dosierer wird nur nach gesonderter Freigabe zugegriffen. Die von Wertau bereitzustellende Pumpe muss 50 Liter je Minute ohne Lufteintrag liefern.</w:t>
      </w:r>
    </w:p>
    <w:p>
      <w:pPr>
        <w:pStyle w:val="Heading1"/>
        <w:keepNext/>
        <w:spacing w:after="0"/>
      </w:pPr>
      <w:r>
        <w:t>6 Unterlagen und Rücksicherung</w:t>
      </w:r>
    </w:p>
    <w:p>
      <w:pPr>
        <w:keepNext/>
        <w:spacing w:before="0" w:after="0" w:line="220" w:lineRule="exact"/>
        <w:rPr>
          <w:sz w:val="22"/>
          <w:szCs w:val="22"/>
        </w:rPr>
      </w:pPr>
    </w:p>
    <w:p>
      <w:r>
        <w:t>Das Steuerungsprojekt wird mit Versionsliste, Parametern und lesbarem Änderungsprotokoll übergeben. Die Kamera wird als lauffähiges Rechnerabbild gesichert. Zur Aktivierung auf einem Ersatzrechner muss Optivis eine neue hardwaregebundene Lizenzdatei ausstellen. Helix übernimmt den Aktivierungsantrag während der Inbetriebnahme. Eine unabhängig von Optivis nutzbare Lizenzreserve ist in der bisherigen Kalkulation nicht enthalten.</w:t>
      </w:r>
    </w:p>
    <w:p>
      <w:r>
        <w:t>Paula König</w:t>
        <w:br/>
        <w:t>Projektleitung Helix Prozessautomation GmbH</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LB-2618 Rev. 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 | Paula König, Projektleitung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Leistungsbeschreibung Linie 3</dc:title>
  <dc:subject>LB-2618 Rev. 2 | 4. September 2026 | Bezug Angebot HP-2618</dc:subject>
  <dc:creator>Helix Prozessautomation GmbH | Paula König, Projektleitung</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