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Seeblick Rechtsanwälte</w:t>
        <w:br/>
        <w:t>Rechtsanwältin Lea Brandt</w:t>
        <w:br/>
        <w:t>Marktstätte 3</w:t>
        <w:br/>
        <w:t>78462 Konstanz</w:t>
      </w:r>
    </w:p>
    <w:p>
      <w:pPr>
        <w:jc w:val="right"/>
      </w:pPr>
      <w:r>
        <w:rPr>
          <w:rFonts w:ascii="Times New Roman" w:hAnsi="Times New Roman" w:eastAsia="Times New Roman" w:cs="Times New Roman"/>
        </w:rPr>
        <w:t>13.11.2026</w:t>
      </w:r>
    </w:p>
    <w:p>
      <w:pPr>
        <w:pStyle w:val="Heading1"/>
      </w:pPr>
      <w:r>
        <w:rPr>
          <w:rFonts w:ascii="Times New Roman" w:hAnsi="Times New Roman" w:eastAsia="Times New Roman" w:cs="Times New Roman"/>
        </w:rPr>
        <w:t>Antwort auf Ihr Schreiben vom 11.11.2026 (Auszug)</w:t>
      </w:r>
    </w:p>
    <w:p>
      <w:pPr>
        <w:widowControl/>
      </w:pPr>
      <w:r>
        <w:rPr>
          <w:rFonts w:ascii="Times New Roman" w:hAnsi="Times New Roman" w:eastAsia="Times New Roman" w:cs="Times New Roman"/>
        </w:rPr>
        <w:t>„Frau Kraus ist seit dem 01.02.2018 Leiterin Personal mit Befugnis zum Ausspruch von Kündigungen. Dies ist im Organigramm im Intranet sowie durch Aushang am Schwarzen Brett bekannt gemacht und Ihrem Mandanten als langjährigem Schichtleiter bekannt. Die Zurückweisung geht ins Leere (Paragraf 174 Satz 2 BGB). gez. Dr. Henrik Vollmer, Geschäftsführer“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Ihr Schreiben vom 11.11.2026 (Auszug)</dc:title>
  <dc:subject/>
  <dc:creator>Klotzkette</dc:creator>
  <cp:keywords/>
  <dc:description/>
  <cp:lastModifiedBy>Klotzkette</cp:lastModifiedBy>
  <cp:revision>1</cp:revision>
  <dcterms:created xsi:type="dcterms:W3CDTF">2026-11-13T00:00:00Z</dcterms:created>
  <dcterms:modified xsi:type="dcterms:W3CDTF">2026-11-13T00:00:00Z</dcterms:modified>
  <cp:category/>
</cp:coreProperties>
</file>