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Betrieb Radolfzell / Betriebsrat</w:t>
      </w:r>
    </w:p>
    <w:p>
      <w:pPr>
        <w:jc w:val="right"/>
      </w:pPr>
      <w:r>
        <w:rPr>
          <w:rFonts w:ascii="Times New Roman" w:hAnsi="Times New Roman" w:eastAsia="Times New Roman" w:cs="Times New Roman"/>
        </w:rPr>
        <w:t>15.01.2020</w:t>
      </w:r>
    </w:p>
    <w:p>
      <w:pPr>
        <w:pStyle w:val="Heading1"/>
      </w:pPr>
      <w:r>
        <w:rPr>
          <w:rFonts w:ascii="Times New Roman" w:hAnsi="Times New Roman" w:eastAsia="Times New Roman" w:cs="Times New Roman"/>
        </w:rPr>
        <w:t>Betriebsvereinbarung Nr. 7/2020 „Variable Vergütung“ (Auszug)</w:t>
      </w:r>
    </w:p>
    <w:p>
      <w:pPr>
        <w:widowControl/>
      </w:pPr>
      <w:r>
        <w:rPr>
          <w:rFonts w:ascii="Times New Roman" w:hAnsi="Times New Roman" w:eastAsia="Times New Roman" w:cs="Times New Roman"/>
        </w:rPr>
        <w:t>zwischen der Seewerk Präzisionsguss GmbH und dem Betriebsrat des Betriebs Radolfzell</w:t>
      </w:r>
    </w:p>
    <w:p>
      <w:pPr>
        <w:widowControl/>
      </w:pPr>
      <w:r>
        <w:rPr>
          <w:rFonts w:ascii="Times New Roman" w:hAnsi="Times New Roman" w:eastAsia="Times New Roman" w:cs="Times New Roman"/>
        </w:rPr>
        <w:t>Paragraf 1 Geltungsbereich. Diese Betriebsvereinbarung gilt für alle Beschäftigten, mit denen ein Zielbonus arbeitsvertraglich vereinbart ist.</w:t>
      </w:r>
    </w:p>
    <w:p>
      <w:pPr>
        <w:widowControl/>
      </w:pPr>
      <w:r>
        <w:rPr>
          <w:rFonts w:ascii="Times New Roman" w:hAnsi="Times New Roman" w:eastAsia="Times New Roman" w:cs="Times New Roman"/>
        </w:rPr>
        <w:t>Paragraf 2 Zielbonus. Die Höhe des Zielbonus ergibt sich aus dem Arbeitsvertrag. Er wird bei einem Gesamtfaktor von 100 % in voller Höhe ausgezahlt.</w:t>
      </w:r>
    </w:p>
    <w:p>
      <w:pPr>
        <w:widowControl/>
      </w:pPr>
      <w:r>
        <w:rPr>
          <w:rFonts w:ascii="Times New Roman" w:hAnsi="Times New Roman" w:eastAsia="Times New Roman" w:cs="Times New Roman"/>
        </w:rPr>
        <w:t>Paragraf 3 Gesamtfaktor. (1) Der Gesamtfaktor setzt sich je zur Hälfte aus dem individuellen Faktor und dem Unternehmensfaktor zusammen. (2) Der individuelle Faktor (0–150 %) wird vom Vorgesetzten auf Grundlage der zu Beginn des Jahres gemeinsam festgelegten Leistungsziele bestimmt. (3) Der Unternehmensfaktor (0–200 %) richtet sich nach Umsatz und EBIT des Standorts Radolfzell. Die Unternehmensziele werden zu Beginn eines jeden Geschäftsjahres von der Geschäftsführung festgelegt und den bonusberechtigten Beschäftigten bis zum 31. Januar bekannt gegeben.</w:t>
      </w:r>
    </w:p>
    <w:p>
      <w:pPr>
        <w:widowControl/>
      </w:pPr>
      <w:r>
        <w:rPr>
          <w:rFonts w:ascii="Times New Roman" w:hAnsi="Times New Roman" w:eastAsia="Times New Roman" w:cs="Times New Roman"/>
        </w:rPr>
        <w:t>Paragraf 4 Auszahlung. Der Bonus wird mit dem Märzgehalt des Folgejahres ausgezahlt. Die Beschäftigten erhalten eine schriftliche Mitteilung mit Angabe der Faktoren.</w:t>
      </w:r>
    </w:p>
    <w:p>
      <w:pPr>
        <w:widowControl/>
      </w:pPr>
      <w:r>
        <w:rPr>
          <w:rFonts w:ascii="Times New Roman" w:hAnsi="Times New Roman" w:eastAsia="Times New Roman" w:cs="Times New Roman"/>
        </w:rPr>
        <w:t>Für die Berechnung werden der individuelle Faktor und der Unternehmensfaktor jeweils mit ihrem hälftigen Anteil berücksichtigt. Die beiden Prozentwerte werden somit zu einem gemeinsamen Gesamtfaktor zusammengeführt. Betragen beide Faktoren 100 Prozent, beträgt auch der Gesamtfaktor 100 Prozent und entspricht die variable Vergütung dem vertraglich bestimmten Zielbonus.</w:t>
      </w:r>
    </w:p>
    <w:p>
      <w:pPr>
        <w:widowControl/>
      </w:pPr>
      <w:r>
        <w:rPr>
          <w:rFonts w:ascii="Times New Roman" w:hAnsi="Times New Roman" w:eastAsia="Times New Roman" w:cs="Times New Roman"/>
        </w:rPr>
        <w:t>Das Bezugsjahr der variablen Vergütung und der Monat ihrer Auszahlung werden in den Unterlagen getrennt bezeichnet. Bei der mit dem Märzgehalt erfolgenden Auszahlung handelt es sich um die variable Vergütung für das vorausgegangene Geschäftsjahr. Das laufende Monatsentgelt des Auszahlungsmonats und der auf dieses Bezugsjahr entfallende Bonus erscheinen daher als getrennte Positionen in derselben Entgeltabrechnung.</w:t>
      </w:r>
    </w:p>
    <w:p>
      <w:pPr>
        <w:widowControl/>
      </w:pPr>
      <w:r>
        <w:rPr>
          <w:rFonts w:ascii="Times New Roman" w:hAnsi="Times New Roman" w:eastAsia="Times New Roman" w:cs="Times New Roman"/>
        </w:rPr>
        <w:t>In der schriftlichen Bonusmitteilung werden das Bezugsjahr und die zugrunde gelegte Vergütungsbasis bezeichnet. Individueller Faktor und Unternehmensfaktor werden getrennt ausgewiesen, damit die Mitteilung dem jeweiligen Abrechnungsjahr zugeordnet werden kann. Die Entgeltabrechnung führt die Auszahlung als gesonderte Lohnart neben dem laufenden Monatsentgelt.</w:t>
      </w:r>
    </w:p>
    <w:p>
      <w:pPr>
        <w:widowControl/>
      </w:pPr>
      <w:r>
        <w:rPr>
          <w:rFonts w:ascii="Times New Roman" w:hAnsi="Times New Roman" w:eastAsia="Times New Roman" w:cs="Times New Roman"/>
        </w:rPr>
        <w:t>Die beiden Faktoren haben unterschiedliche Bezugsgrößen. Beim individuellen Faktor sind die Leistungsziele des jeweiligen Beschäftigten maßgeblich; beim Unternehmensfaktor sind es Umsatz und EBIT des Standorts Radolfzell. Entsprechend werden die Werte in der persönlichen Mitteilung nicht zu einer einzigen Angabe über die individuelle Leistung zusammengezogen, sondern nebeneinander ausgewiesen.</w:t>
      </w:r>
    </w:p>
    <w:p>
      <w:pPr>
        <w:widowControl/>
      </w:pPr>
      <w:r>
        <w:rPr>
          <w:rFonts w:ascii="Times New Roman" w:hAnsi="Times New Roman" w:eastAsia="Times New Roman" w:cs="Times New Roman"/>
        </w:rPr>
        <w:t>Der vertragliche Zielbonus bezeichnet den Bruttobetrag bei einem Gesamtfaktor von 100 Prozent. Der tatsächlich abzurechnende Bruttobonus ergibt sich aus diesem Betrag und dem Gesamtfaktor. Der Überweisungsbetrag der Märzabrechnung ist davon zu unterscheiden, weil darin auch das laufende Monatsentgelt und die Abzüge dieser Abrechnung enthalten sind.</w:t>
      </w:r>
    </w:p>
    <w:p>
      <w:pPr>
        <w:widowControl/>
      </w:pPr>
      <w:r>
        <w:rPr>
          <w:rFonts w:ascii="Times New Roman" w:hAnsi="Times New Roman" w:eastAsia="Times New Roman" w:cs="Times New Roman"/>
        </w:rPr>
        <w:t>Radolfzell, 15.01.2020 – gez. Geschäftsführung – gez. Ralf Becker, Betriebsratsvorsitzender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Betriebsvereinbarung Nr. 7/2020 „Variable Vergütung“ (Auszug)</dc:title>
  <dc:subject/>
  <dc:creator>Klotzkette</dc:creator>
  <cp:keywords/>
  <dc:description/>
  <cp:lastModifiedBy>Klotzkette</cp:lastModifiedBy>
  <cp:revision>1</cp:revision>
  <dcterms:created xsi:type="dcterms:W3CDTF">2020-01-15T00:00:00Z</dcterms:created>
  <dcterms:modified xsi:type="dcterms:W3CDTF">2020-01-15T00:00:00Z</dcterms:modified>
  <cp:category/>
</cp:coreProperties>
</file>