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Weserquell Pumpentechnik GmbH</w:t>
        <w:br/>
        <w:t>Kranbogen 14, 28197 Bremen</w:t>
        <w:br/>
        <w:t>Vertrieb: Maren Voß | vertrieb@weserquell.example</w:t>
      </w:r>
    </w:p>
    <w:p>
      <w:r>
        <w:t>Rhônelle Ingrédients SAS</w:t>
        <w:br/>
        <w:t>18 allée des Cuves, 69007 Lyon, Frankreich</w:t>
        <w:br/>
        <w:t>Claire Delorme, Einkauf</w:t>
      </w:r>
    </w:p>
    <w:p>
      <w:r>
        <w:t>02.03.2026</w:t>
      </w:r>
    </w:p>
    <w:p>
      <w:pPr>
        <w:pStyle w:val="Title"/>
      </w:pPr>
      <w:r>
        <w:t>Angebot WP26031 für sechs Prozesspumpen</w:t>
      </w:r>
    </w:p>
    <w:p>
      <w:pPr/>
      <w:r>
        <w:t>Sehr geehrte Frau Delorme,</w:t>
      </w:r>
    </w:p>
    <w:p>
      <w:pPr/>
      <w:r>
        <w:t>für die Erweiterung Ihrer Sirupküche bieten wir sechs Pumpen WQ 80 H mit Frequenzumrichter und hygienischen Anschlüssen an. Grundlage sind Ihr Gespräch mit Herrn Berger am 26. Februar und die unten beschriebenen Betriebswerte. Das Angebot bleibt bis einschließlich 16. März 2026 bindend. Eine Bestellung mit abweichenden Bedingungen bedarf unserer gesonderten Bestätigung.</w:t>
      </w:r>
    </w:p>
    <w:p>
      <w:pPr>
        <w:pStyle w:val="Heading1"/>
      </w:pPr>
      <w:r>
        <w:t>1 Lieferumfang und Preis</w:t>
      </w:r>
    </w:p>
    <w:p>
      <w:pPr/>
      <w:r>
        <w:t>Geliefert werden sechs fabrikneue Pumpen, jeweils mit Motor, Umrichter, Grundplatte und einem Satz Gegenflansche. Der Stückpreis beträgt 16.800,00 EUR, insgesamt 100.800,00 EUR. Verpackung und Anlieferung nach Lyon sind darin enthalten. Die Rechnung wird bei Vorliegen der erforderlichen Voraussetzungen als steuerfreie innergemeinschaftliche Lieferung ohne deutsche Umsatzsteuer erstellt. Rohrleitungen, elektrische Zuleitungen und die Einbindung in Ihre Anlagensteuerung gehören nicht zum Lieferumfang.</w:t>
      </w:r>
    </w:p>
    <w:p>
      <w:pPr>
        <w:pStyle w:val="Heading1"/>
      </w:pPr>
      <w:r>
        <w:t>2 Auslegung</w:t>
      </w:r>
    </w:p>
    <w:p>
      <w:pPr/>
      <w:r>
        <w:t>Der vorgesehene Arbeitspunkt beträgt 18 Kubikmeter pro Stunde bei 4 bar Differenzdruck. Die Auslegung erfolgt für einen dünnflüssigen Zuckersirup bis 120 mPa s bei 60 Grad Celsius. Der Saugdruck am Pumpenstutzen muss im Betrieb mindestens 0,35 bar über dem Umgebungsdruck liegen. Die zulässige Feststoffgröße beträgt 0,5 Millimeter. Angaben zu Kristallanteilen liegen uns bisher nicht vor. Die angebotenen EPDM-Dichtungen sind für den mitgeteilten Reinigungsablauf vorgesehen; Änderungen von Konzentration und Temperatur sind vor der Serienfertigung mitzuteilen.</w:t>
      </w:r>
    </w:p>
    <w:p>
      <w:pPr/>
      <w:r>
        <w:t>Die Fördermenge wird werkseitig mit Wasser nachgewiesen. Ein Produktversuch in Lyon ist nicht im Preis enthalten. Wir bieten dafür einen Servicetag zu 1.240,00 EUR zuzüglich Reiseaufwand an. Bei einer Bestellung werden wir ein gemeinsames Auslegungsblatt erstellen, damit Betriebsgrenzen und Versuchsmethode nicht nur aus Gesprächsnotizen hervorgehen.</w:t>
      </w:r>
    </w:p>
    <w:p>
      <w:pPr>
        <w:pStyle w:val="Heading1"/>
      </w:pPr>
      <w:r>
        <w:t>3 Lieferung und Zahlung</w:t>
      </w:r>
    </w:p>
    <w:p>
      <w:pPr/>
      <w:r>
        <w:t>Die Lieferung soll am 17. Juni 2026 erfolgen. Wir übernehmen die Beförderung bis zur Rampe an der oben genannten Betriebsanschrift. Die Entladung übernimmt Ihre Mannschaft. 30 Prozent des Kaufpreises sind innerhalb von sieben Kalendertagen nach beidseitiger Auftragsbestätigung zu zahlen. 60 Prozent sind innerhalb von 14 Kalendertagen nach Anlieferung und Rechnungseingang fällig. Die restlichen 10 Prozent sind nach dem vereinbarten Funktionslauf, spätestens 45 Kalendertage nach Anlieferung, zu zahlen. Eine abweichende Fälligkeitsabrede ist in der Kaufbestätigung festzuhalten.</w:t>
      </w:r>
    </w:p>
    <w:p>
      <w:pPr>
        <w:pStyle w:val="Heading1"/>
      </w:pPr>
      <w:r>
        <w:t>4 Allgemeine Lieferbedingungen Stand Januar 2026</w:t>
      </w:r>
    </w:p>
    <w:p>
      <w:pPr>
        <w:pStyle w:val="Heading1"/>
      </w:pPr>
      <w:r>
        <w:t>4.1 Vertragsunterlagen</w:t>
      </w:r>
    </w:p>
    <w:p>
      <w:pPr/>
      <w:r>
        <w:t>Unsere Allgemeinen Lieferbedingungen werden nachstehend vollständig für diesen Auftrag wiedergegeben. Einkaufsbedingungen des Kunden gelten nur, soweit wir ihnen schriftlich zustimmen. Individualvereinbarungen gehen diesen Bedingungen vor. Eine bloße Entgegennahme einer Bestellung mit abweichenden Bedingungen ist keine Zustimmung.</w:t>
      </w:r>
    </w:p>
    <w:p>
      <w:pPr>
        <w:pStyle w:val="Heading1"/>
      </w:pPr>
      <w:r>
        <w:t>4.2 Untersuchung und Beanstandung</w:t>
      </w:r>
    </w:p>
    <w:p>
      <w:pPr/>
      <w:r>
        <w:t>Der Kunde soll die Anzahl und äußerlich erkennbare Beschädigungen bei Anlieferung prüfen und uns festgestellte Abweichungen unverzüglich mitteilen. Technische Beanstandungen sollen Seriennummer, Betriebsstunden und verwendete Medien enthalten. Die Bitte um Angaben ist keine Vereinbarung, dass eine in anderer Form eingegangene Beanstandung unbeachtet bleibt. Vor einem zerstörenden Eingriff ist uns Gelegenheit zur Besichtigung zu geben, soweit dies ohne Gefährdung des Betriebs möglich ist.</w:t>
      </w:r>
    </w:p>
    <w:p>
      <w:pPr>
        <w:pStyle w:val="Heading1"/>
      </w:pPr>
      <w:r>
        <w:t>4.3 Abhilfe</w:t>
      </w:r>
    </w:p>
    <w:p>
      <w:pPr/>
      <w:r>
        <w:t>Bei einem von uns zu vertretenden Liefermangel werden wir die betroffene Pumpe nach unserer Wahl reparieren oder austauschen. Der Kunde gewährt hierfür Zugang während seiner üblichen Betriebszeit. Eine notwendige sofortige Sicherungsmaßnahme darf er selbst ausführen; ausgebaute Teile sind aufzubewahren. Eine pauschale Erstattung aller Betriebsausfälle wird mit diesem Angebot nicht zugesagt. Weitergehende Ansprüche werden hierdurch nicht abschließend geregelt.</w:t>
      </w:r>
    </w:p>
    <w:p>
      <w:pPr>
        <w:pStyle w:val="Heading1"/>
      </w:pPr>
      <w:r>
        <w:t>4.4 Betriebsänderungen</w:t>
      </w:r>
    </w:p>
    <w:p>
      <w:pPr/>
      <w:r>
        <w:t>Der Kunde teilt Änderungen des Mediums, der Leitungsführung und der Steuerungsparameter mit. Eine Abweichung führt nicht automatisch zum Verlust aller Ansprüche. Sie ist jedoch bei der Untersuchung einer Störung mit den tatsächlich gemessenen Betriebswerten zu dokumentieren.</w:t>
      </w:r>
    </w:p>
    <w:p>
      <w:pPr>
        <w:pStyle w:val="Heading1"/>
      </w:pPr>
      <w:r>
        <w:t>4.5 Recht</w:t>
      </w:r>
    </w:p>
    <w:p>
      <w:pPr/>
      <w:r>
        <w:t>Es gilt deutsches Recht unter Ausschluss des UN-Kaufrechts (CISG). Die Wirksamkeit und Reichweite anderer Vereinbarungen, insbesondere einer später ausdrücklich vereinbarten Rechtswahl, richten sich nach der betreffenden Vereinbarung. Eine Schiedsvereinbarung ist nicht Bestandteil dieses Angebots.</w:t>
      </w:r>
    </w:p>
    <w:p>
      <w:pPr/>
      <w:r>
        <w:t>Maren Voß</w:t>
        <w:br/>
        <w:t>Vertriebsleiterin | Angebot elektronisch freigegeben am 02.03.2026, 10:15 Uhr</w:t>
      </w:r>
    </w:p>
    <w:sectPr w:rsidR="00FC693F" w:rsidRPr="0006063C" w:rsidSect="00034616">
      <w:footerReference w:type="default" r:id="rId9"/>
      <w:pgSz w:w="11906" w:h="16838"/>
      <w:pgMar w:top="1020" w:right="1304" w:bottom="1020"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 xml:space="preserve">Seite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140" w:line="254" w:lineRule="auto"/>
    </w:pPr>
    <w:rPr>
      <w:rFonts w:ascii="Times New Roman" w:hAnsi="Times New Roman" w:eastAsia="Times New Roman" w:cs="Times New Roman"/>
      <w:color w:val="000000"/>
      <w:sz w:val="22"/>
    </w:rPr>
  </w:style>
  <w:style w:type="paragraph" w:styleId="Header">
    <w:name w:val="header"/>
    <w:basedOn w:val="Normal"/>
    <w:link w:val="HeaderChar"/>
    <w:uiPriority w:val="99"/>
    <w:unhideWhenUsed/>
    <w:rsid w:val="00E618BF"/>
    <w:pPr>
      <w:widowControl/>
      <w:tabs>
        <w:tab w:val="center" w:pos="4680"/>
        <w:tab w:val="right" w:pos="9360"/>
      </w:tabs>
      <w:spacing w:after="140" w:line="254" w:lineRule="auto"/>
    </w:pPr>
    <w:rPr>
      <w:rFonts w:ascii="Times New Roman" w:hAnsi="Times New Roman" w:eastAsia="Times New Roman" w:cs="Times New Roman"/>
      <w:color w:val="000000"/>
      <w:sz w:val="22"/>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widowControl/>
      <w:tabs>
        <w:tab w:val="center" w:pos="4680"/>
        <w:tab w:val="right" w:pos="9360"/>
      </w:tabs>
      <w:spacing w:after="140" w:line="254" w:lineRule="auto"/>
    </w:pPr>
    <w:rPr>
      <w:rFonts w:ascii="Times New Roman" w:hAnsi="Times New Roman" w:eastAsia="Times New Roman" w:cs="Times New Roman"/>
      <w:color w:val="000000"/>
      <w:sz w:val="22"/>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widowControl/>
      <w:spacing w:before="480" w:after="140" w:line="254" w:lineRule="auto"/>
      <w:outlineLvl w:val="0"/>
    </w:pPr>
    <w:rPr>
      <w:rFonts w:cstheme="majorBidi" w:ascii="Times New Roman" w:hAnsi="Times New Roman" w:eastAsia="Times New Roman" w:cs="Times New Roman"/>
      <w:b/>
      <w:bCs/>
      <w:color w:val="000000"/>
      <w:sz w:val="22"/>
      <w:szCs w:val="28"/>
    </w:rPr>
  </w:style>
  <w:style w:type="paragraph" w:styleId="Heading2">
    <w:name w:val="heading 2"/>
    <w:basedOn w:val="Normal"/>
    <w:next w:val="Normal"/>
    <w:link w:val="Heading2Char"/>
    <w:uiPriority w:val="9"/>
    <w:unhideWhenUsed/>
    <w:qFormat/>
    <w:rsid w:val="00FC693F"/>
    <w:pPr>
      <w:keepNext/>
      <w:keepLines/>
      <w:widowControl/>
      <w:spacing w:before="200" w:after="140" w:line="254" w:lineRule="auto"/>
      <w:outlineLvl w:val="1"/>
    </w:pPr>
    <w:rPr>
      <w:rFonts w:cstheme="majorBidi" w:ascii="Times New Roman" w:hAnsi="Times New Roman" w:eastAsia="Times New Roman" w:cs="Times New Roman"/>
      <w:b/>
      <w:bCs/>
      <w:color w:val="000000"/>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widowControl/>
      <w:spacing w:after="140" w:line="254" w:lineRule="auto"/>
      <w:contextualSpacing/>
    </w:pPr>
    <w:rPr>
      <w:rFonts w:cstheme="majorBidi" w:ascii="Times New Roman" w:hAnsi="Times New Roman" w:eastAsia="Times New Roman" w:cs="Times New Roman"/>
      <w:b/>
      <w:color w:val="000000"/>
      <w:spacing w:val="5"/>
      <w:kern w:val="28"/>
      <w:sz w:val="3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Angebot WP26031 für sechs Prozesspumpen</dc:title>
  <dc:subject/>
  <dc:creator>Klotzkette</dc:creator>
  <cp:keywords/>
  <dc:description>generated by python-docx</dc:description>
  <cp:lastModifiedBy>Klotzkette</cp:lastModifiedBy>
  <cp:revision>1</cp:revision>
  <dcterms:created xsi:type="dcterms:W3CDTF">2026-10-18T08:00:00Z</dcterms:created>
  <dcterms:modified xsi:type="dcterms:W3CDTF">2026-10-18T08:00:00Z</dcterms:modified>
  <cp:category/>
  <dc:language>de-DE</dc:language>
</cp:coreProperties>
</file>