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Rhônelle Ingrédients SAS</w:t>
        <w:br/>
        <w:t>18 allée des Cuves, 69007 Lyon</w:t>
        <w:br/>
        <w:t>Claire Delorme | claire.delorme@rhonelle.example</w:t>
      </w:r>
    </w:p>
    <w:p>
      <w:r>
        <w:t>Weserquell Pumpentechnik GmbH</w:t>
        <w:br/>
        <w:t>Maren Voß, Bremen</w:t>
      </w:r>
    </w:p>
    <w:p>
      <w:r>
        <w:t>06.03.2026</w:t>
      </w:r>
    </w:p>
    <w:p>
      <w:pPr>
        <w:pStyle w:val="Title"/>
      </w:pPr>
      <w:r>
        <w:t>Bestellung RI26048 mit Einkaufsbedingungen</w:t>
      </w:r>
    </w:p>
    <w:p>
      <w:pPr/>
      <w:r>
        <w:t>Sehr geehrte Frau Voß,</w:t>
      </w:r>
    </w:p>
    <w:p>
      <w:pPr/>
      <w:r>
        <w:t>wir bestellen sechs Pumpen WQ 80 H zum Gesamtpreis von 100.800,00 EUR ohne Umsatzsteuer. Bitte übernehmen Sie unsere Bestellnummer RI26048 in Lieferschein und Rechnung. Unser Projekt heißt Cuve Est. Die Ware ist für den gewerblichen Betrieb in Lyon bestimmt und nicht zum Weiterverkauf.</w:t>
      </w:r>
    </w:p>
    <w:p>
      <w:pPr>
        <w:pStyle w:val="Heading1"/>
      </w:pPr>
      <w:r>
        <w:t>1 Leistung und Unterlagen</w:t>
      </w:r>
    </w:p>
    <w:p>
      <w:pPr/>
      <w:r>
        <w:t>Die Pumpen sollen unsere Sirupmischungen im Bereich von 80 bis 180 mPa s bei 60 Grad Celsius fördern. Im Regelbetrieb benötigen wir 18 Kubikmeter pro Stunde bei 4 bar Differenzdruck. Die von Ihnen angebotene Auslegung bis 120 mPa s deckt nicht sämtliche Rezepturen ab. Bitte bestätigen Sie vor Fertigungsbeginn, ob derselbe Pumpentyp auch für unsere Herbstrezeptur geeignet ist oder welche Änderung erforderlich wird. Ein stillschweigender Verzicht auf diese Rückfrage ist mit der Bestellung nicht verbunden.</w:t>
      </w:r>
    </w:p>
    <w:p>
      <w:pPr/>
      <w:r>
        <w:t>Wir benötigen ein Auslegungsblatt, eine deutschsprachige Betriebsanleitung und eine Seriennummernliste. Die deutschsprachige Dokumentation ist für unsere technische Projektleitung vereinbart; die örtliche Unterweisung der Schichtmannschaft übernehmen wir selbst. Zum Funktionslauf stellen wir das Produkt und eine betriebsbereite Rohrleitung zur Verfügung.</w:t>
      </w:r>
    </w:p>
    <w:p>
      <w:pPr>
        <w:pStyle w:val="Heading1"/>
      </w:pPr>
      <w:r>
        <w:t>2 Termin und Zahlungsplan</w:t>
      </w:r>
    </w:p>
    <w:p>
      <w:pPr/>
      <w:r>
        <w:t>Die Ware soll am 17. Juni 2026 an unserer Rampe eintreffen. Der Produktionsanlauf ist für den 20. Juli vorgesehen. Ein früherer gemeinsamer Funktionslauf wird möglich, wenn der Schaltschrank rechtzeitig fertiggestellt ist. Wir akzeptieren 30 Prozent Vorauszahlung und 60 Prozent nach Lieferung und Rechnung. Die restlichen 10 Prozent sollen erst nach einem dokumentierten Produktlauf ohne Undichtigkeit gezahlt werden. Der in Ihrem Angebot genannte äußerste Zahlungstermin von 45 Tagen ist von dieser Bestellung nicht übernommen.</w:t>
      </w:r>
    </w:p>
    <w:p>
      <w:pPr>
        <w:pStyle w:val="Heading1"/>
      </w:pPr>
      <w:r>
        <w:t>3 Einkaufsbedingungen Ausgabe Februar 2026</w:t>
      </w:r>
    </w:p>
    <w:p>
      <w:pPr>
        <w:pStyle w:val="Heading1"/>
      </w:pPr>
      <w:r>
        <w:t>3.1 Rang der Dokumente</w:t>
      </w:r>
    </w:p>
    <w:p>
      <w:pPr/>
      <w:r>
        <w:t>Unsere Bestellung einschließlich der ausdrücklich bestätigten technischen Angaben geht allgemeinen Verkäuferbedingungen vor. Ergänzend gelten die nachfolgenden Einkaufsbedingungen. Abweichende Verkäuferbedingungen werden nicht allein dadurch Vertragsbestandteil, dass sie einer Lieferung oder Rechnung beiliegen. Eine gemeinsam unterschriebene Kaufbestätigung kann hiervon abweichende Regelungen enthalten.</w:t>
      </w:r>
    </w:p>
    <w:p>
      <w:pPr>
        <w:pStyle w:val="Heading1"/>
      </w:pPr>
      <w:r>
        <w:t>3.2 Liefernachweis</w:t>
      </w:r>
    </w:p>
    <w:p>
      <w:pPr/>
      <w:r>
        <w:t>Eine Unterschrift unseres Wareneingangs bestätigt Zahl und äußerlich erkennbaren Zustand der Packstücke. Sie bestätigt nicht die im eingebauten Zustand erreichbare Förderleistung. Lieferschein und Rechnung sind getrennt zu übermitteln. Die Fälligkeit des vereinbarten Lieferanteils wird durch rein interne Verzögerungen unserer Buchhaltung nicht verschoben.</w:t>
      </w:r>
    </w:p>
    <w:p>
      <w:pPr>
        <w:pStyle w:val="Heading1"/>
      </w:pPr>
      <w:r>
        <w:t>3.3 Untersuchung</w:t>
      </w:r>
    </w:p>
    <w:p>
      <w:pPr/>
      <w:r>
        <w:t>Nach Anlieferung prüfen wir die Vollständigkeit. Nach Einbau prüfen wir die technische Funktion. Werden bei dieser Prüfung Mängel erkennbar, benachrichtigen wir den Verkäufer mit einer Beschreibung der Beobachtungen. Der Verkäufer soll innerhalb von drei Arbeitstagen einen Ansprechpartner und einen Vorschlag für die technische Untersuchung benennen. Eine Reaktionsfrist ersetzt keine gesonderte Vereinbarung über die Dauer einer Reparatur.</w:t>
      </w:r>
    </w:p>
    <w:p>
      <w:pPr>
        <w:pStyle w:val="Heading1"/>
      </w:pPr>
      <w:r>
        <w:t>3.4 Produktinformationen</w:t>
      </w:r>
    </w:p>
    <w:p>
      <w:pPr/>
      <w:r>
        <w:t>Der Verkäufer soll vor Freigabe auf erkennbare Widersprüche zwischen unseren Einsatzdaten und seinem Angebot hinweisen. Nicht mitgeteilte spätere Rezepturänderungen werden dadurch nicht zu bereits vereinbarten Einsatzdaten. Unsere Angaben beruhen auf den bis Februar 2026 verwendeten Rezepturen. Für die Herbstrezeptur liegen noch keine Temperaturkurven aus dem Dauerbetrieb vor.</w:t>
      </w:r>
    </w:p>
    <w:p>
      <w:pPr>
        <w:pStyle w:val="Heading1"/>
      </w:pPr>
      <w:r>
        <w:t>3.5 Rechte und Zahlung</w:t>
      </w:r>
    </w:p>
    <w:p>
      <w:pPr/>
      <w:r>
        <w:t>Bei einer Beanstandung wollen wir zunächst gemeinsam feststellen, welche Pumpen betroffen sind. Wir werden unstreitige Teilbeträge nicht allein wegen einer Beanstandung anderer Positionen zurückhalten. Ob und in welcher Höhe weitere Beträge offenbleiben, ist mit Bezug auf den konkreten Mangel mitzuteilen. Der Verkäufer darf eine Zahlung nicht ohne Rückfrage auf andere Bestellungen umbuchen.</w:t>
      </w:r>
    </w:p>
    <w:p>
      <w:pPr>
        <w:pStyle w:val="Heading1"/>
      </w:pPr>
      <w:r>
        <w:t>3.6 Rechtswahl</w:t>
      </w:r>
    </w:p>
    <w:p>
      <w:pPr/>
      <w:r>
        <w:t>Es gilt französisches Recht einschließlich des Übereinkommens der Vereinten Nationen über Verträge über den internationalen Warenkauf. Ein Ausschluss dieses Übereinkommens in allgemeinen Verkäuferbedingungen wird nicht akzeptiert. Für im Übereinkommen nicht geregelte Fragen soll das gewählte französische Recht maßgeblich sein. Eine Gerichtsstands- oder Schiedsvereinbarung treffen wir mit dieser Bestellung nicht.</w:t>
      </w:r>
    </w:p>
    <w:p>
      <w:pPr>
        <w:pStyle w:val="Heading1"/>
      </w:pPr>
      <w:r>
        <w:t>4 Bestätigung</w:t>
      </w:r>
    </w:p>
    <w:p>
      <w:pPr/>
      <w:r>
        <w:t>Bitte senden Sie eine bereinigte Kaufbestätigung zurück. Unsere Fertigungsfreigabe erfolgt erst nach Unterzeichnung dieser Bestätigung durch beide Seiten. Die Bestellung ist von Claire Delorme als Einkaufsleiterin freigegeben; eine Zahlung wurde heute noch nicht angewiesen.</w:t>
      </w:r>
    </w:p>
    <w:p>
      <w:pPr/>
      <w:r>
        <w:t>Claire Delorme</w:t>
        <w:br/>
        <w:t>Einkaufsleiterin | Freigabe RI26048 am 06.03.2026, 16:10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Bestellung RI26048 mit Einkaufsbedingungen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