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Weserquell Pumpentechnik GmbH und Rhônelle Ingrédients SAS</w:t>
        <w:br/>
        <w:t>Auftrag WP26031 | Bestellung RI26048</w:t>
      </w:r>
    </w:p>
    <w:p>
      <w:r>
        <w:t>Vertragsausfertigung für beide Unternehmen</w:t>
        <w:br/>
        <w:t>Betriebsstätten Bremen und Lyon</w:t>
      </w:r>
    </w:p>
    <w:p>
      <w:r>
        <w:t>12.03.2026</w:t>
      </w:r>
    </w:p>
    <w:p>
      <w:pPr>
        <w:pStyle w:val="Title"/>
      </w:pPr>
      <w:r>
        <w:t>Kaufbestätigung und vereinbarte Lieferbedingungen</w:t>
      </w:r>
    </w:p>
    <w:p>
      <w:pPr>
        <w:pStyle w:val="Heading1"/>
      </w:pPr>
      <w:r>
        <w:t>1 Vertragsparteien und Abschluss</w:t>
      </w:r>
    </w:p>
    <w:p>
      <w:pPr/>
      <w:r>
        <w:t>Weserquell Pumpentechnik GmbH, Kranbogen 14, 28197 Bremen, Deutschland, verkauft an Rhônelle Ingrédients SAS, 18 allée des Cuves, 69007 Lyon, Frankreich, sechs fabrikneue Prozesspumpen WQ 80 H. Beide Parteien schließen den Vertrag durch Unterzeichnung dieser Kaufbestätigung. Die nachstehenden Vereinbarungen ersetzen abweichende Angaben in Angebot WP26031 vom 2. März und Bestellung RI26048 vom 6. März 2026.</w:t>
      </w:r>
    </w:p>
    <w:p>
      <w:pPr>
        <w:pStyle w:val="Heading1"/>
      </w:pPr>
      <w:r>
        <w:t>2 Gegenstand und technische Grundlage</w:t>
      </w:r>
    </w:p>
    <w:p>
      <w:pPr/>
      <w:r>
        <w:t>Jede Pumpe wird mit Motor, Frequenzumrichter, Grundplatte und Gegenflanschen geliefert. Die Seriennummern werden im Lieferschein ausgewiesen. Verbindlich ist das von beiden Projektverantwortlichen am 12. März freigegebene Auslegungsblatt Revision 2. Bei einer Viskosität bis 120 mPa s und 60 Grad Celsius werden 18 Kubikmeter pro Stunde bei 4 bar Differenzdruck vereinbart. Bei 180 mPa s und derselben Temperatur werden 14 Kubikmeter pro Stunde bei 4 bar vereinbart. Für Zwischenwerte wird keine lineare Leistungskurve zugesagt. Der Saugdruck muss im laufenden Betrieb mindestens 0,35 bar über Umgebungsdruck betragen.</w:t>
      </w:r>
    </w:p>
    <w:p>
      <w:pPr/>
      <w:r>
        <w:t>Die Käuferin nennt als Einsatzzweck die Förderung ihrer Sirupmischungen im Projekt Cuve Est. Die Verkäuferin bestätigt die Eignung innerhalb der vereinbarten Betriebsgrenzen. Die Käuferin verantwortet die bauseitige Leitungsführung und stellt für den Produktlauf die tatsächlichen Rezepturdaten bereit. Die Reinigung ist mit maximal zweiprozentiger alkalischer Lösung bei höchstens 75 Grad Celsius vorgesehen. Eine Freigabe für andere Reinigungsbedingungen wird mit diesem Vertrag nicht erklärt.</w:t>
      </w:r>
    </w:p>
    <w:p>
      <w:pPr>
        <w:pStyle w:val="Heading1"/>
      </w:pPr>
      <w:r>
        <w:t>3 Prüfungen und Dokumentation</w:t>
      </w:r>
    </w:p>
    <w:p>
      <w:pPr/>
      <w:r>
        <w:t>Die Verkäuferin prüft jede Pumpe vor Versand mit Wasser auf Leistung und sichtbare Undichtigkeit. Sie liefert das Prüfprotokoll und eine deutschsprachige Anleitung mit. Dieser Werkstest ersetzt nicht den gemeinsamen Produktlauf in Lyon. Der Produktlauf soll mindestens 90 Minuten je angeschlossenem Strang umfassen. Die Beteiligten dokumentieren Temperatur, Saugdruck, Produktviskosität, Fördermenge und erkennbare Undichtigkeiten. Eine Unterschrift unter ein Protokoll bestätigt die aufgezeichneten Beobachtungen, soweit im Protokoll nichts anderes vereinbart wird.</w:t>
      </w:r>
    </w:p>
    <w:p>
      <w:pPr/>
      <w:r>
        <w:t>Die Käuferin meldet die Betriebsbereitschaft mindestens fünf Arbeitstage vorher. Für einen gemeinsamen Servicetag berechnet die Verkäuferin den bereits angebotenen Satz nur dann, wenn kein von ihr zu behebender Mangel festgestellt wird. Eine endgültige Kostenübernahme wird nicht allein durch die Terminbestätigung erklärt. Die Pumpe darf bei einer Undichtigkeit sofort abgeschaltet werden; Bauteile und Betriebsaufzeichnungen sind für die Untersuchung aufzubewahren.</w:t>
      </w:r>
    </w:p>
    <w:p>
      <w:pPr>
        <w:pStyle w:val="Heading1"/>
      </w:pPr>
      <w:r>
        <w:t>4 Preis und Lieferung</w:t>
      </w:r>
    </w:p>
    <w:p>
      <w:pPr/>
      <w:r>
        <w:t>Der Preis beträgt sechs mal 16.800,00 EUR, zusammen 100.800,00 EUR ohne Umsatzsteuer. Verpackung und Straßenbeförderung bis zur Rampe in Lyon sind enthalten. Die Verkäuferin trägt das Risiko einer zufälligen Beschädigung bis zur Bereitstellung auf dem ankommenden Fahrzeug an dieser Rampe. Die Käuferin entlädt. Als Liefertag wird der 17. Juni 2026 vereinbart. Ein früherer Versand setzt die Zustimmung der Käuferin voraus. Eine bestimmte Incoterms-Klausel wird für diesen Auftrag nicht vereinbart.</w:t>
      </w:r>
    </w:p>
    <w:p>
      <w:pPr/>
      <w:r>
        <w:t>Die Verkäuferin verpackt die sechs Pumpen einzeln auf verschraubten Sockeln. Die Käuferin hält die Rampe frei und stellt geeignetes Hebezeug bereit. Verpackungsmaterial darf erst nach Prüfung auf äußere Beschädigungen entsorgt werden. Eine Beschädigung bei der von der Käuferin ausgeführten Entladung wird gesondert dokumentiert.</w:t>
      </w:r>
    </w:p>
    <w:p>
      <w:pPr>
        <w:pStyle w:val="Heading1"/>
      </w:pPr>
      <w:r>
        <w:t>5 Zahlung</w:t>
      </w:r>
    </w:p>
    <w:p>
      <w:pPr/>
      <w:r>
        <w:t>30 Prozent, also 30.240,00 EUR, sind bis 19. März 2026 zu zahlen. 60 Prozent, also 60.480,00 EUR, sind binnen 14 Kalendertagen nach Lieferung und Rechnungseingang fällig. Die restlichen 10 Prozent, also 10.080,00 EUR, sind nach dem gemeinsamen Produktlauf fällig, spätestens am 1. September 2026, sofern die Verschiebung des Produktlaufs allein aus der Sphäre der Käuferin stammt. Die Parteien halten in diesem Fall fest, weshalb der Lauf verschoben wurde. Mit dieser Zahlungsregel wird nicht erklärt, ob wegen eines konkret beanstandeten Mangels ein Betrag zurückgehalten werden darf.</w:t>
      </w:r>
    </w:p>
    <w:p>
      <w:pPr>
        <w:pStyle w:val="Heading1"/>
      </w:pPr>
      <w:r>
        <w:t>6 Beanstandung und Untersuchung</w:t>
      </w:r>
    </w:p>
    <w:p>
      <w:pPr/>
      <w:r>
        <w:t>Die Käuferin prüft die Vollständigkeit nach Anlieferung und meldet erkennbare Transportschäden. Für eine technische Beanstandung benennt sie die betroffene Seriennummer und die beobachtete Abweichung. Die Verkäuferin erhält Gelegenheit zu einer Untersuchung und zu einem konkreten Abhilfevorschlag. Die Parteien vereinbaren keine automatische Anerkennung einer Beanstandung durch Schweigen. Sie vereinbaren ebenso wenig, dass ein bloßer Wareneingangsstempel alle technischen Eigenschaften bestätigt.</w:t>
      </w:r>
    </w:p>
    <w:p>
      <w:pPr>
        <w:pStyle w:val="Heading1"/>
      </w:pPr>
      <w:r>
        <w:t>7 Rangfolge und Recht</w:t>
      </w:r>
    </w:p>
    <w:p>
      <w:pPr/>
      <w:r>
        <w:t>Diese individuell abgestimmte Kaufbestätigung und das Auslegungsblatt Revision 2 haben Vorrang. Soweit danach noch allgemeine Bedingungen ergänzend heranzuziehen sind, gehen die im Angebot vom 2. März vollständig abgedruckten Allgemeinen Lieferbedingungen der Verkäuferin den Einkaufsbedingungen der Käuferin vom 6. März vor. Widersprechende Regelungen dieser Kaufbestätigung werden durch diese AGB-Priorität nicht geändert.</w:t>
      </w:r>
    </w:p>
    <w:p>
      <w:pPr/>
      <w:r>
        <w:t>Die Parteien vereinbaren ausdrücklich die Anwendung des UN-Kaufrechts (CISG). Im Übrigen gilt deutsches Recht. Der CISG-Ausschluss in Ziffer 4.5 des Angebots wird für diesen Auftrag nicht übernommen. Die französische Rechtswahl aus Ziffer 3.6 der Bestellung wird durch die vorstehende Regelung ersetzt. Ein besonderer Gerichtsstand und ein Schiedsverfahren werden nicht vereinbart.</w:t>
      </w:r>
    </w:p>
    <w:p>
      <w:pPr>
        <w:pStyle w:val="Heading1"/>
      </w:pPr>
      <w:r>
        <w:t>8 Ausfertigungen</w:t>
      </w:r>
    </w:p>
    <w:p>
      <w:pPr/>
      <w:r>
        <w:t>Beide Parteien erhalten die gleichlautende unterzeichnete Fassung einschließlich Auslegungsblatt Revision 2. Änderungen des Leistungsumfangs werden mit Datum und konkretem Bezug dokumentiert. Die Parteien halten Besprechungen weiterhin auf Deutsch ab; dies ändert nichts an den jeweiligen Betriebsstätten.</w:t>
      </w:r>
    </w:p>
    <w:p>
      <w:pPr/>
      <w:r>
        <w:t>Bremen, 12.03.2026, 09:20 Uhr: Maren Voß, Vertriebsleiterin, für Weserquell Pumpentechnik GmbH, unterschrieben.</w:t>
        <w:br/>
        <w:t>Lyon, 12.03.2026, 11:05 Uhr: Claire Delorme, Einkaufsleiterin, für Rhônelle Ingrédients SAS, unterschrieben.</w:t>
        <w:br/>
        <w:t>Beide Unterschriften wurden auf der Vertragsausfertigung geleistet; Namenswiedergabe in der elektronischen Ablage.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Kaufbestätigung und vereinbarte Lieferbedingungen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