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Pleißegarten Feinkost GmbH | Mühlenbogen 17, 04349 Leipzig</w:t>
        <w:br/>
        <w:t>Moravela Plnicí Technika s.r.o. | U Plnicího Dvora 28, 614 00 Brno</w:t>
      </w:r>
    </w:p>
    <w:p>
      <w:r>
        <w:t>Vertragsausfertigung AF2604 / MP26036</w:t>
        <w:br/>
        <w:t>Kontakt: einkauf@pleissegarten.example und prodej@moravela.example</w:t>
      </w:r>
    </w:p>
    <w:p>
      <w:r>
        <w:t>08.04.2026</w:t>
      </w:r>
    </w:p>
    <w:p>
      <w:pPr>
        <w:pStyle w:val="Title"/>
      </w:pPr>
      <w:r>
        <w:t>Kaufvertrag über die Abfüllmaschine AF 2400</w:t>
      </w:r>
    </w:p>
    <w:p>
      <w:pPr>
        <w:pStyle w:val="Heading1"/>
      </w:pPr>
      <w:r>
        <w:t>1 Parteien und Liefergegenstand</w:t>
      </w:r>
    </w:p>
    <w:p>
      <w:pPr/>
      <w:r>
        <w:t>Moravela Plnicí Technika s.r.o., Brno, Tschechien, verkauft an Pleißegarten Feinkost GmbH, Leipzig, Deutschland, eine fabrikneue Abfüllmaschine AF 2400 mit vier Füllköpfen, Zuführband, Verschließeinheit und zwei Formatteilesätzen. Die Maschine wird unter Seriennummer AF26-036 gefertigt. Sie dient zum Abfüllen der von der Käuferin beschriebenen Feinkostsaucen in 250- und 500-Milliliter-Flaschen. Technische Grundlage ist die von beiden Seiten unterzeichnete Spezifikation PG-AF Revision 4 vom 8. April 2026.</w:t>
      </w:r>
    </w:p>
    <w:p>
      <w:pPr/>
      <w:r>
        <w:t>Der Lieferumfang umfasst die betriebsfähige Maschine, eine deutschsprachige Betriebsanleitung, Schaltpläne, die im Lieferumfang erforderlichen Konformitätsunterlagen und eine Sicherung der bei Inbetriebnahme installierten Steuerungsversion. Die Käuferin liefert keine wesentlichen Bauteile für die Fertigung. Ihre Proben und Musterflaschen dienen der Auslegung und Prüfung. Die Verkäuferin schuldet zusätzlich den Aufbau, zwei Tage Inbetriebnahme und einen Tag Bedienereinweisung.</w:t>
      </w:r>
    </w:p>
    <w:p>
      <w:pPr>
        <w:pStyle w:val="Heading1"/>
      </w:pPr>
      <w:r>
        <w:t>2 Preis</w:t>
      </w:r>
    </w:p>
    <w:p>
      <w:pPr/>
      <w:r>
        <w:t>Der Gesamtpreis beträgt 186.000,00 EUR ohne Umsatzsteuer. Davon entfallen 174.000,00 EUR auf die Maschine einschließlich beider Formatteilesätze, 4.000,00 EUR auf Verpackung und Transport und 8.000,00 EUR auf Aufbau, Inbetriebnahme und Einweisung. Die Kostenaufteilung ist verbindlich; zusätzliche Serviceleistungen bedürfen eines gesonderten Auftrags. Die Verkäuferin darf Arbeiten zur Beseitigung einer von ihr geschuldeten Abweichung nicht ohne Abstimmung als neuen entgeltlichen Auftrag behandeln.</w:t>
      </w:r>
    </w:p>
    <w:p>
      <w:pPr>
        <w:pStyle w:val="Heading1"/>
      </w:pPr>
      <w:r>
        <w:t>3 Termine und Anlieferung</w:t>
      </w:r>
    </w:p>
    <w:p>
      <w:pPr/>
      <w:r>
        <w:t>Die Werkserprobung in Brno findet am 14. Juli 2026 statt. Die Käuferin entsendet ihre technische Leiterin. Als Anlieferungstag in Leipzig ist der 4. August 2026 vereinbart. Die Verkäuferin organisiert die Straßenbeförderung und trägt das Risiko bis zur abgeschlossenen Entladung am Aufstellort. Die Käuferin stellt einen freien Zugang, ausreichende Bodenbelastbarkeit und die in der Spezifikation benannten Medienanschlüsse bereit.</w:t>
      </w:r>
    </w:p>
    <w:p>
      <w:pPr/>
      <w:r>
        <w:t>Die Inbetriebnahme ist für den 5. und 6. August vorgesehen; am 7. August findet die Einweisung statt. Soweit ein Anschluss entgegen der Spezifikation fehlt, wird dies mit konkreter Auswirkung auf den Ablauf festgehalten. Ein solcher Eintrag ersetzt keine Prüfung anderer, davon unabhängiger Maschinenfunktionen.</w:t>
      </w:r>
    </w:p>
    <w:p>
      <w:pPr>
        <w:pStyle w:val="Heading1"/>
      </w:pPr>
      <w:r>
        <w:t>4 Leistungsnachweise</w:t>
      </w:r>
    </w:p>
    <w:p>
      <w:pPr/>
      <w:r>
        <w:t>Die Werkserprobung erfolgt mit den vereinbarten Musterflaschen und einem von der Käuferin gelieferten Produkt. Sie soll die grundlegenden Füll- und Verschließfunktionen vor Versand zeigen. Der Werkstest wird auf 60 Minuten begrenzt. Am Aufstellort ist zusätzlich ein vierstündiger Dauerlauf nach Spezifikation durchzuführen. Die Käuferin muss dabei einen ausreichenden Produktvorrat und freigegebene Flaschen bereitstellen. Die Verkäuferin stellt einen Techniker und die erforderlichen Messmittel.</w:t>
      </w:r>
    </w:p>
    <w:p>
      <w:pPr/>
      <w:r>
        <w:t>Das Protokoll benennt Gutmenge, Ausschuss, Stillstandszeiten, Produktparameter und manuelle Eingriffe. Ein erfolgreiches kurzes Anfahren ersetzt den vierstündigen Dauerlauf nicht. Die Unterschrift unter Lieferung oder Einweisung allein gibt die letzte Zahlungsrate nicht frei. Der Produktionsbetrieb darf vor Abschluss des Dauerlaufs mit dokumentierten Einschränkungen aufgenommen werden.</w:t>
      </w:r>
    </w:p>
    <w:p>
      <w:pPr>
        <w:pStyle w:val="Heading1"/>
      </w:pPr>
      <w:r>
        <w:t>5 Zahlungsplan</w:t>
      </w:r>
    </w:p>
    <w:p>
      <w:pPr/>
      <w:r>
        <w:t>30 Prozent des Gesamtpreises, also 55.800,00 EUR, sind bis zum 15. April 2026 zu zahlen. 50 Prozent, also 93.000,00 EUR, sind binnen 14 Tagen nach Anlieferung und Rechnungseingang fällig. 20 Prozent, also 37.200,00 EUR, sind nach einem protokollierten erfolgreichen vierstündigen Dauerlauf gemäß Spezifikation fällig. Die Verkäuferin stellt für die einzelnen Leistungsbestandteile getrennte Rechnungen aus, wenn dies für deren steuerliche Behandlung erforderlich ist. Die vertragliche Gesamtrate bleibt hiervon unberührt.</w:t>
      </w:r>
    </w:p>
    <w:p>
      <w:pPr>
        <w:pStyle w:val="Heading1"/>
      </w:pPr>
      <w:r>
        <w:t>6 Betriebsdaten und Zugriff</w:t>
      </w:r>
    </w:p>
    <w:p>
      <w:pPr/>
      <w:r>
        <w:t>Die Käuferin betreibt die Maschine zunächst mit den freigegebenen Parametersätzen PG250-R4 und PG500-R4. Sie darf Bedienparameter innerhalb der dokumentierten Bereiche ändern. Änderungen an geschützten Serviceparametern werden nur gemeinsam mit der Verkäuferin vorgenommen und in einem Export gesichert. Die Verkäuferin erhält nach Terminabstimmung Zugang zu Maschine und Fehlerprotokollen. Ein dauerhafter unbeaufsichtigter Fernzugriff wird nicht eingerichtet.</w:t>
      </w:r>
    </w:p>
    <w:p>
      <w:pPr/>
      <w:r>
        <w:t>Die Käuferin hält Druckluft zwischen 6,0 und 7,0 bar am Maschineneingang vor. Die Verkäuferin richtet einen Alarm unter 5,8 bar ein. Ein solcher Alarm ist mit Zeitstempel zu speichern. Die erforderliche Produktviskosität wird vor jedem Dauerlauf bei der vereinbarten Temperatur gemessen, nicht allein aus der Rezeptnummer abgeleitet.</w:t>
      </w:r>
    </w:p>
    <w:p>
      <w:pPr>
        <w:pStyle w:val="Heading1"/>
      </w:pPr>
      <w:r>
        <w:t>7 Störungen und Abhilfe</w:t>
      </w:r>
    </w:p>
    <w:p>
      <w:pPr/>
      <w:r>
        <w:t>Die Käuferin meldet eine Störung mit Beschreibung des Ablaufs und den verfügbaren Protokollen. Die Verkäuferin bestätigt den Eingang und benennt innerhalb von zwei Arbeitstagen einen verantwortlichen Techniker. Sie legt anschließend einen konkreten Vorschlag für Untersuchung und Abhilfe vor. Für einen Vor-Ort-Termin vereinbaren die Parteien ein Zeitfenster und die bereitzustellenden Materialien. Ausgebaute Teile werden zunächst aufbewahrt.</w:t>
      </w:r>
    </w:p>
    <w:p>
      <w:pPr/>
      <w:r>
        <w:t>Kann ein angekündigter Termin nicht eingehalten werden, informiert die Verkäuferin die Käuferin, sobald sie hiervon erfährt. Eine neue Terminabsprache enthält nicht ohne Weiteres einen Verzicht auf bereits geltend gemachte Beanstandungen. Die Käuferin wird technische Hilfe nicht allein deshalb ablehnen, weil Kostenfragen noch offen sind; eine Kostenübernahme wird dadurch nicht zugesagt.</w:t>
      </w:r>
    </w:p>
    <w:p>
      <w:pPr>
        <w:pStyle w:val="Heading1"/>
      </w:pPr>
      <w:r>
        <w:t>8 Recht und Abschluss</w:t>
      </w:r>
    </w:p>
    <w:p>
      <w:pPr/>
      <w:r>
        <w:t>Für den Kauf gilt das UN-Kaufrecht (CISG). Für Fragen außerhalb seines Regelungsbereichs wählen die Parteien deutsches Recht. Eine Schiedsvereinbarung wird nicht getroffen. Die Betriebsstätten der Parteien befinden sich in Brno und Leipzig. Die maßgebliche Vertragsfassung und die vereinbarte Projektkorrespondenz sind deutschsprachig.</w:t>
      </w:r>
    </w:p>
    <w:p>
      <w:pPr/>
      <w:r>
        <w:t>Leipzig, 08.04.2026: Leonie Kranz, Geschäftsführerin, für Pleißegarten Feinkost GmbH, unterschrieben.</w:t>
        <w:br/>
        <w:t>Brno, 08.04.2026: Tomáš Velek, Geschäftsführer, für Moravela Plnicí Technika s.r.o., unterschrieben.</w:t>
        <w:br/>
        <w:t>Namenswiedergabe der beiderseits unterzeichneten Vertragsausfertigung.</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Kaufvertrag über die Abfüllmaschine AF 2400</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