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Pleißegarten Feinkost GmbH und Moravela Plnicí Technika s.r.o.</w:t>
        <w:br/>
        <w:t>Gemeinsames Prüfprotokoll DL1007</w:t>
      </w:r>
    </w:p>
    <w:p>
      <w:r>
        <w:t>Leonie Kranz und Tomáš Velek</w:t>
        <w:br/>
        <w:t>AF26-036 | PG250-R4</w:t>
      </w:r>
    </w:p>
    <w:p>
      <w:r>
        <w:t>07.10.2026</w:t>
      </w:r>
    </w:p>
    <w:p>
      <w:pPr>
        <w:pStyle w:val="Title"/>
      </w:pPr>
      <w:r>
        <w:t>Vierstündiger Dauerlauf mit freigegebenen Parametern</w:t>
      </w:r>
    </w:p>
    <w:p>
      <w:pPr>
        <w:pStyle w:val="Heading1"/>
      </w:pPr>
      <w:r>
        <w:t>1 Vorbereitung</w:t>
      </w:r>
    </w:p>
    <w:p>
      <w:pPr/>
      <w:r>
        <w:t>Anwesend waren Daria Schöne, Meike Albers und Pavel Šimek. Der Parametersatz wurde um 08:30 Uhr gemeinsam ausgelesen: Solltakt 2.350 pro Stunde, Anzugsmoment 1,6 Nm, Steuerung 3.15. Während des Laufs wurden keine Sollwerte verändert. Produkt Kräuter mild, Charge KM1006, Viskosität 1.160 mPa s bei 22,0 Grad Celsius. PG250-Flaschen aus Los F250-08, stichprobenartig 55,9 bis 56,2 Millimeter Außendurchmesser.</w:t>
      </w:r>
    </w:p>
    <w:p>
      <w:pPr/>
      <w:r>
        <w:t>Die bauseitige Spülung blieb gesperrt. Druckluft am Maschineneingang durchgehend 6,2 bis 6,4 bar. Kein Druckalarm gespeichert. Produkt und Flaschen standen über den gesamten Lauf bereit. Einrichten von 08:50 bis 09:00 Uhr; gewertetes Zeitfenster von 09:00 bis 13:00 Uhr, genau vier Stunden.</w:t>
      </w:r>
    </w:p>
    <w:p>
      <w:pPr>
        <w:pStyle w:val="Heading1"/>
      </w:pPr>
      <w:r>
        <w:t>2 Mengen und Unterbrechungen</w:t>
      </w:r>
    </w:p>
    <w:p>
      <w:pPr/>
      <w:r>
        <w:t>Begonnen wurden 8.640 Flaschen. Davon wurden 8.360 als Gutflaschen und 280 als Ausschuss gezählt. Die Gutleistung betrug damit 2.090 Flaschen pro Stunde. Die Ausschussquote bezogen auf die begonnenen Flaschen betrug 3,24 Prozent. Die Stichproben der als gut gezählten Flaschen lagen innerhalb der Fülltoleranz. Der Ausschuss betraf überwiegend schiefe oder undichte Verschlüsse.</w:t>
      </w:r>
    </w:p>
    <w:p>
      <w:pPr/>
      <w:r>
        <w:t>Vier maschinenbedingte Stopps von zusammen 19 Minuten sind im Vierstundenfenster enthalten: 09:36 Uhr vier Minuten, 10:18 Uhr fünf Minuten, 11:22 Uhr vier Minuten und 12:06 Uhr sechs Minuten. Bei drei Stopps mussten schief stehende Flaschen am Einlauf entfernt werden. Beim letzten Stopp war ein Verschluss unter dem Kopf verkantet. Die rechte Klemmplatte blieb fest.</w:t>
      </w:r>
    </w:p>
    <w:p>
      <w:pPr>
        <w:pStyle w:val="Heading1"/>
      </w:pPr>
      <w:r>
        <w:t>3 Unterschiedliche Beobachtungen</w:t>
      </w:r>
    </w:p>
    <w:p>
      <w:pPr/>
      <w:r>
        <w:t>Pavel Šimek beobachtete bei einzelnen Flaschen eine leicht ovale Schulter. Daria Schöne verweist auf die gemessenen Außendurchmesser innerhalb der vereinbarten Toleranz. Die Schultergeometrie ist in der Spezifikation nicht gesondert bemaßt. Zehn auffällige Flaschen wurden gemeinsam markiert und zurückgelegt. Ein Vergleichslauf mit Musterlos F250-06 wurde heute mangels ausreichender Stückzahl nicht ausgeführt.</w:t>
      </w:r>
    </w:p>
    <w:p>
      <w:pPr/>
      <w:r>
        <w:t>Nach dem gewerteten Lauf wurde von 13:30 bis 14:15 Uhr mit Solltakt 1.900 gefahren. Dabei wurden 1.404 Gutflaschen und acht Ausschussflaschen gezählt; ein Stopp trat nicht auf. Dieser Zusatzlauf ist nicht in die obigen vier Stunden eingerechnet. Das 500-Milliliter-Format wurde heute nicht geprüft.</w:t>
      </w:r>
    </w:p>
    <w:p>
      <w:pPr>
        <w:pStyle w:val="Heading1"/>
      </w:pPr>
      <w:r>
        <w:t>4 Weitere Arbeiten</w:t>
      </w:r>
    </w:p>
    <w:p>
      <w:pPr/>
      <w:r>
        <w:t>Pavel schlägt ein überarbeitetes Einlaufsternrad und einen Vergleich mit beiden Flaschenlosen vor. Er kann am heutigen Tag weder Verfügbarkeit noch Einbautermin verbindlich nennen. Daria bittet um einen schriftlichen Plan mit Termin. Die gekennzeichneten Flaschen verbleiben bis dahin in Box DL1007 im Technikraum.</w:t>
      </w:r>
    </w:p>
    <w:p>
      <w:pPr/>
      <w:r>
        <w:t>Daria Schöne und Pavel Šimek bestätigen die protokollierten Werte mit Unterschrift am 07.10.2026 um 15:10 Uhr. Die Bewertung der Schulterform bleibt zwischen ihnen offen.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Vierstündiger Dauerlauf mit freigegebenen Parametern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