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Pleißegarten Feinkost GmbH | Controlling</w:t>
        <w:br/>
        <w:t>Henrik Weißbach | controlling@pleissegarten.example</w:t>
      </w:r>
    </w:p>
    <w:p>
      <w:r>
        <w:t>Leonie Kranz | Projekt AF2604</w:t>
      </w:r>
    </w:p>
    <w:p>
      <w:r>
        <w:t>14.10.2026</w:t>
      </w:r>
    </w:p>
    <w:p>
      <w:pPr>
        <w:pStyle w:val="Title"/>
      </w:pPr>
      <w:r>
        <w:t>Zahlungen und bisher erfasste Zusatzaufwendungen</w:t>
      </w:r>
    </w:p>
    <w:p>
      <w:pPr/>
      <w:r>
        <w:t>Zum Vertrag über 186.000,00 EUR wurden am 14. April 55.800,00 EUR und am 18. August 93.000,00 EUR gezahlt. Die Summe beträgt 148.800,00 EUR. Die noch nicht gezahlte Schlussrate beträgt 37.200,00 EUR. Im Rechnungssystem ist sie als nach Dauerlauf freizugeben hinterlegt. Es gibt keine Zahlung an Füllwerk Elsteraue und keinen gebuchten Erwerb einer Ersatzmaschine.</w:t>
      </w:r>
    </w:p>
    <w:p>
      <w:pPr/>
      <w:r>
        <w:t>Die Handabfüllung lief im August an sechs und im September an acht zusätzlichen Schichten. Die zuerst gemeldeten 112 Personalstunden enthielten 16 Stunden reguläre Reinigung und 12 Stunden für Paprika grob, die wir ohnehin nicht auf der neuen Anlage geplant hatten. Für die übrigen 84 Stunden sind im Zeitkonto Zusatzstunden erfasst. Bei dem verwendeten internen Satz von 28,00 EUR ergibt dies 2.352,00 EUR. Die Lohnabrechnung weist davon bisher 48 Stunden als ausgezahlte Mehrarbeit aus; der Rest steht auf Zeitkonten.</w:t>
      </w:r>
    </w:p>
    <w:p>
      <w:pPr/>
      <w:r>
        <w:t>Für zusätzliche Einwegtrichter und Reinigungstücher wurden nach den gebuchten Einkaufsbelegen insgesamt 286,40 EUR netto ausgegeben. Die Waren wurden auch für andere kleine Serien genutzt. Der Anteil des Projekts ist noch nicht abgegrenzt. Die behaupteten 1.800,00 EUR Expressfracht aus der ersten Meldung waren dagegen eine Kundenkalkulation und keine an uns gestellte Rechnung.</w:t>
      </w:r>
    </w:p>
    <w:p>
      <w:pPr/>
      <w:r>
        <w:t>Beim Alternativangebot betragen Maschine, Transport und Aufstellung zusammen 204.800,00 EUR netto. Der zusätzliche Formatsatz PG500 mit vorläufig 9.600,00 EUR ist darin nicht enthalten. Die ursprünglich gekaufte Maschine enthält bereits beide Formate und eine Einweisung. Ein Vergleich nur der beiden Endbeträge würde unterschiedliche Umfänge gegenüberstellen. Der mögliche Rücknahmewert von 60.000,00 EUR ist nicht zugesagt.</w:t>
      </w:r>
    </w:p>
    <w:p>
      <w:pPr/>
      <w:r>
        <w:t>Die aktuelle AF 2400 wird mit reduziertem Takt weiterverwendet. Es werden damit Erlöse erzielt; sie steht nicht durchgehend still. Der Vertrieb hat für den Kunden Löffelpfad eine Terminverschiebung vereinbart. Eine Vertragsstrafe wurde uns nicht berechnet. Die Geschäftsführung hat die Entscheidung über einen Ersatzkauf noch nicht freigegeben.</w:t>
      </w:r>
    </w:p>
    <w:p>
      <w:pPr/>
      <w:r>
        <w:t>Henrik Weißbach, 14.10.2026, 13:10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Zahlungen und bisher erfasste Zusatzaufwendungen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