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Kieselstrom Automation GmbH | Kieselring 22, 89079 Ulm</w:t>
        <w:br/>
        <w:t>Vettalume Sensori S.r.l. | Via delle Officine Chiare 31, 10156 Torino</w:t>
      </w:r>
    </w:p>
    <w:p>
      <w:r>
        <w:t>Vertragsausfertigung KA26077 / VS26112</w:t>
        <w:br/>
        <w:t>Kontakt: einkauf@kieselstrom.example und vendite@vettalume.example</w:t>
      </w:r>
    </w:p>
    <w:p>
      <w:r>
        <w:t>10.09.2026</w:t>
      </w:r>
    </w:p>
    <w:p>
      <w:pPr>
        <w:pStyle w:val="Title"/>
      </w:pPr>
      <w:r>
        <w:t>Kaufvertrag über 120 Präzisionssensoren</w:t>
      </w:r>
    </w:p>
    <w:p>
      <w:pPr>
        <w:pStyle w:val="Heading1"/>
      </w:pPr>
      <w:r>
        <w:t>1 Parteien und Liefergegenstand</w:t>
      </w:r>
    </w:p>
    <w:p>
      <w:pPr/>
      <w:r>
        <w:t>Vettalume Sensori S.r.l., Turin, Italien, verkauft an Kieselstrom Automation GmbH, Ulm, Deutschland, 120 fabrikneue optische Abstandssensoren VL S40 zum Einbau in industrielle Prüfzellen. Die Sensoren werden in sechs Kisten mit jeweils 20 Stück geliefert. Der vereinbarte Messbereich beträgt 0 bis 40 Millimeter. Bei 23 Grad Celsius darf die Abweichung nach dem vereinbarten Prüfverfahren höchstens 0,05 Millimeter betragen. Eine Prüfung bei anderen Temperaturen wird nicht als gleichwertiger Abnahmenachweis vereinbart.</w:t>
      </w:r>
    </w:p>
    <w:p>
      <w:pPr/>
      <w:r>
        <w:t>Die Seriennummern S260001 bis S260120 werden den Kisten in aufsteigender Folge zugeordnet. Kiste VS112-1 enthält S260001 bis S260020, Kiste VS112-2 enthält S260021 bis S260040 und so fort. Die Verkäuferin liefert die Kalibrierdaten und die Seriennummernzuordnung mit. Die Käuferin baut die Sensoren selbst ein. Montagearbeiten und die Programmierung der Prüfzellen sind nicht Teil des Kaufpreises.</w:t>
      </w:r>
    </w:p>
    <w:p>
      <w:pPr>
        <w:pStyle w:val="Heading1"/>
      </w:pPr>
      <w:r>
        <w:t>2 Preis und Zahlung</w:t>
      </w:r>
    </w:p>
    <w:p>
      <w:pPr/>
      <w:r>
        <w:t>Der Stückpreis beträgt 480,00 EUR. Der Nettogesamtpreis beträgt 57.600,00 EUR einschließlich vereinbarter Verpackung und Verladung am nachstehend benannten Ort. Die Verkäuferin stellt bei Vorliegen der Voraussetzungen eine Rechnung über eine steuerfreie innergemeinschaftliche Lieferung aus. Die Käuferin zahlt 17.280,00 EUR bis 11. September 2026. Der Restbetrag von 40.320,00 EUR wird 14 Kalendertage nach der dokumentierten Übergabe am Ladeort fällig, jedoch nicht vor Zugang der Rechnung. Eine Kaufpreiszahlung ist keine Bestätigung der Schadensfreiheit.</w:t>
      </w:r>
    </w:p>
    <w:p>
      <w:pPr>
        <w:pStyle w:val="Heading1"/>
      </w:pPr>
      <w:r>
        <w:t>3 Lieferklausel und benannter Ladeort</w:t>
      </w:r>
    </w:p>
    <w:p>
      <w:pPr/>
      <w:r>
        <w:t>Vereinbart ist FCA Vettalume Sensori S.r.l., Werk Torino, Via delle Officine Chiare 31, Halle 2, Laderampe 4, 10156 Torino, Italien, Incoterms 2020. Dieser Ort liegt auf dem Betriebsgelände der Verkäuferin. Die Verkäuferin lädt die Ware auf das von der Käuferin bereitgestellte Fahrzeug. Der vereinbarte Übergabepunkt ist nicht das Werkstor und nicht das spätere Umschlaglager. Die vorgesehenen Ladezeiten am 23. September 2026 sind 08:00 bis 09:00 Uhr Ortszeit.</w:t>
      </w:r>
    </w:p>
    <w:p>
      <w:pPr/>
      <w:r>
        <w:t>Die Käuferin beauftragt den Frachtführer und bezahlt dessen Rechnung unmittelbar. Sie soll bis zum 21. September das Fahrzeug und den Ansprechpartner mitteilen. Die Verkäuferin darf die Käuferin bei der Abstimmung unterstützen; dadurch wird sie nicht ohne weitere Vereinbarung Auftraggeberin der Beförderung. Das Fahrzeug muss trocken, geschlossen und für die Sicherung von sechs Kisten geeignet sein.</w:t>
      </w:r>
    </w:p>
    <w:p>
      <w:pPr>
        <w:pStyle w:val="Heading1"/>
      </w:pPr>
      <w:r>
        <w:t>4 Verpackung und Ladung</w:t>
      </w:r>
    </w:p>
    <w:p>
      <w:pPr/>
      <w:r>
        <w:t>Die Verpackung richtet sich nach Verpackungsblatt P40 Revision 3 vom 10. September. Jede Kiste enthält zwei getrennte Lagen zu je zehn Sensoren. Die Sensoren liegen einzeln in antistatischen Beuteln und formgeschnittenen Schaumstoffaufnahmen. Die dort vorgegebenen Mindeststärken sind einzuhalten. Die Verpackung muss die üblicherweise zu erwartenden Belastungen einer Straßenbeförderung mit einem angekündigten Umschlag aufnehmen können. Sie ersetzt nicht die erforderliche Ladungssicherung auf dem Fahrzeug.</w:t>
      </w:r>
    </w:p>
    <w:p>
      <w:pPr/>
      <w:r>
        <w:t>Die Verkäuferin befestigt einen Datenlogger DL44 an Kiste VS112-3 und vermerkt dessen Startzeit in UTC. Die Käuferin liest das Gerät nach Anlieferung aus, ohne dessen Speicher zurückzusetzen. Das Überschreiten eines eingestellten Schwellenwerts ist zu dokumentieren; aus einem solchen Ereignis allein wird vertraglich weder eine bestimmte Schadensursache noch eine bestimmte Haftung abgeleitet.</w:t>
      </w:r>
    </w:p>
    <w:p>
      <w:pPr>
        <w:pStyle w:val="Heading1"/>
      </w:pPr>
      <w:r>
        <w:t>5 Übernahme und Prüfung</w:t>
      </w:r>
    </w:p>
    <w:p>
      <w:pPr/>
      <w:r>
        <w:t>Die Parteien halten Zahl, Kennzeichen und äußeren Zustand der Kisten bei der Verladung fest. Der Frachtführer soll erkennbare Einwände im Frachtbrief eintragen. Die Innenverpackung wird bei der Verladung nicht nochmals geöffnet. Das Fehlen eines äußeren Vorbehalts bestätigt deshalb nicht die Stärke verdeckter Schaumstofflagen. Die Käuferin prüft nach Eingang den äußeren Zustand und führt anschließend die vereinbarte Stichprobenmessung durch. Bei einer Auffälligkeit werden die betroffenen Kisten getrennt und weitere Messungen dokumentiert.</w:t>
      </w:r>
    </w:p>
    <w:p>
      <w:pPr/>
      <w:r>
        <w:t>Die Käuferin teilt der Verkäuferin konkrete Abweichungen mit Seriennummern, Prüfbedingungen und möglichst unveränderten Rohdaten mit. Beschädigte Verpackungen, Logger und betroffene Sensoren werden bis zur Abstimmung aufbewahrt. Ein Rückversand darf erst nach Kennzeichnung und Dokumentation erfolgen, damit die Herkunft der Teile nachvollziehbar bleibt.</w:t>
      </w:r>
    </w:p>
    <w:p>
      <w:pPr>
        <w:pStyle w:val="Heading1"/>
      </w:pPr>
      <w:r>
        <w:t>6 Versicherung und sonstige Zuordnungen</w:t>
      </w:r>
    </w:p>
    <w:p>
      <w:pPr/>
      <w:r>
        <w:t>Die Käuferin meldet die Sendung zu ihrer Warentransportversicherung an. Die Verkäuferin verspricht keine eigene Transportversicherung und keine bestimmte Deckungsentscheidung des Versicherers. Eine Versicherungszahlung wird gesondert verbucht. Die vereinbarte Gefahrverteilung ersetzt weder die Verpackungsanforderungen noch eine Vereinbarung über das Eigentum.</w:t>
      </w:r>
    </w:p>
    <w:p>
      <w:pPr/>
      <w:r>
        <w:t>Die Verkäuferin behält sich das Eigentum bis zur vollständigen Kaufpreiszahlung vor, soweit dies nach dem für die dinglichen Wirkungen maßgeblichen Recht wirksam ist. Die Parteien treffen damit keine Aussage über die Wirkung gegenüber Dritten in einem anderen Staat. Der Kaufpreis bleibt nach dem vereinbarten Zahlungsplan abzurechnen; streitige Gegenrechte sind gesondert zu benennen.</w:t>
      </w:r>
    </w:p>
    <w:p>
      <w:pPr>
        <w:pStyle w:val="Heading1"/>
      </w:pPr>
      <w:r>
        <w:t>7 Recht und Kommunikation</w:t>
      </w:r>
    </w:p>
    <w:p>
      <w:pPr/>
      <w:r>
        <w:t>Es gilt das UN-Kaufrecht (CISG), ergänzend deutsches Recht für Fragen außerhalb seines Regelungsbereichs. Die internationale Straßenbeförderung wird in einem eigenen Frachtvertrag beauftragt. Dieser Kaufvertrag trifft keine abschließende Regelung über Ansprüche gegen den Frachtführer. Eine Schiedsvereinbarung besteht nicht. Die Projektkorrespondenz wird auf Deutsch geführt; die Parteien stellen erforderliche Übersetzungen für ihre Lagerteams selbst bereit.</w:t>
      </w:r>
    </w:p>
    <w:p>
      <w:pPr/>
      <w:r>
        <w:t>Unterzeichnet in Ulm am 10.09.2026 durch Hanna Weiß, Einkaufsleiterin, und in Turin am selben Tag durch Marta Riva, Vertriebsleiterin. Namenswiedergabe der beiderseits unterzeichneten Ausfertigung.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Kaufvertrag über 120 Präzisionssensoren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