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Prüffeld Auenmaß GmbH</w:t>
        <w:br/>
        <w:t>Messstelle Ulm | Dr. Lene Groß | pruefung@auenmass.example</w:t>
      </w:r>
    </w:p>
    <w:p>
      <w:r>
        <w:t>Kieselstrom Automation GmbH</w:t>
        <w:br/>
        <w:t>Abschrift an Vettalume und Pontevia nach Freigabe</w:t>
      </w:r>
    </w:p>
    <w:p>
      <w:r>
        <w:t>06.10.2026</w:t>
      </w:r>
    </w:p>
    <w:p>
      <w:pPr>
        <w:pStyle w:val="Title"/>
      </w:pPr>
      <w:r>
        <w:t>Untersuchung von vier Sensoren und zwei Polsterproben</w:t>
      </w:r>
    </w:p>
    <w:p>
      <w:pPr/>
      <w:r>
        <w:t>Auftrag AM26104, Eingang 29.09.2026. Übergeben wurden die Sensoren S260045 und S260061 aus den beanstandeten Kisten sowie S260010 und S260090 als Vergleich. Die Teile waren einzeln versiegelt; die Zuordnung wurde von Dr. Malik Dorn und Jochen Bähr dokumentiert. Der Frachtführer war bei der Probenentnahme nicht anwesend. Der Loggerexport DL44 wurde als Datendatei vorgelegt.</w:t>
      </w:r>
    </w:p>
    <w:p>
      <w:pPr>
        <w:pStyle w:val="Heading1"/>
      </w:pPr>
      <w:r>
        <w:t>1 Messwerte</w:t>
      </w:r>
    </w:p>
    <w:p>
      <w:pPr/>
      <w:r>
        <w:t>Bei 23,0 Grad Celsius ergaben sich maximale Abweichungen von 0,21 Millimeter für S260045 und 0,12 Millimeter für S260061. Die Vergleichsteile erreichten 0,02 und 0,03 Millimeter. Bei beiden auffälligen Geräten war die optische Baugruppe gegenüber ihrer Halterung versetzt. Gehäuse und Steckverbinder zeigten keine entsprechende äußere Bruchstelle. Nach Öffnung von S260045 wurden an der Halterung Druckmarken festgestellt. S260061 wurde nur optisch durch die Wartungsöffnung untersucht.</w:t>
      </w:r>
    </w:p>
    <w:p>
      <w:pPr>
        <w:pStyle w:val="Heading1"/>
      </w:pPr>
      <w:r>
        <w:t>2 Verpackungsproben</w:t>
      </w:r>
    </w:p>
    <w:p>
      <w:pPr/>
      <w:r>
        <w:t>Die Bodenlage aus Kiste 3 misst unbelastet nach 48 Stunden Erholung 18 bis 20 Millimeter, die aus Kiste 4 19 bis 21 Millimeter. Beide Proben sind an den Auflagepunkten dauerhaft verformt. Eine sichere Rekonstruktion der ursprünglichen Dicke ist ohne Rückstellstück derselben Zuschnittcharge nicht möglich. Die Belastungsversuche an den übergebenen Restflächen zeigen eine geringere Rückstellkraft als die beigelegte neue 30-Millimeter-Vergleichsplatte. Alter, Materialcharge und Vorschädigung können daran beteiligt sein.</w:t>
      </w:r>
    </w:p>
    <w:p>
      <w:pPr>
        <w:pStyle w:val="Heading1"/>
      </w:pPr>
      <w:r>
        <w:t>3 Logger und Übertragbarkeit</w:t>
      </w:r>
    </w:p>
    <w:p>
      <w:pPr/>
      <w:r>
        <w:t>DL44 registrierte am 23.09.2026 um 14:17:36 UTC eine Spitze von 8,6 g über 11 Millisekunden. Dies entspricht 16:17:36 Uhr MESZ. Das Gerät war an der Kistenwand befestigt. Es misst nicht unmittelbar die Beschleunigung des inneren Trägers. Ob dieser Stoß bei vertragsgemäßer Polsterung zu derselben Beschädigung geführt hätte, wurde nicht durch einen Vergleichsfall nachgestellt. Ein einzelner Schwellenwert liefert daher keine vollständige Ursachenrekonstruktion.</w:t>
      </w:r>
    </w:p>
    <w:p>
      <w:pPr>
        <w:pStyle w:val="Heading1"/>
      </w:pPr>
      <w:r>
        <w:t>4 Einordnung des Befunds</w:t>
      </w:r>
    </w:p>
    <w:p>
      <w:pPr/>
      <w:r>
        <w:t>Die Versetzung der Baugruppen passt zu einer mechanischen Belastung. Ein ungünstiger Innenaufbau kann deren Übertragung verstärken. Die vorliegenden Befunde ermöglichen keine belastbare Aufteilung zwischen Stoßintensität und Polsterwirkung. Ein bereits vor Verpackung bestehender Messfehler wird durch die protokollierte Ausgangsprüfung weniger naheliegend, ist ohne vollständige Rohdatenprüfung aber nicht eigenständig ausgeschlossen. Für die übrigen 20 beanstandeten Sensoren liegt diesem Labor kein eigener Befund vor.</w:t>
      </w:r>
    </w:p>
    <w:p>
      <w:pPr/>
      <w:r>
        <w:t>Dr. Lene Groß, 06.10.2026, 15:40 Uhr</w:t>
        <w:br/>
        <w:t>Die geöffneten Teile werden getrennt und gekennzeichnet verwahrt.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Untersuchung von vier Sensoren und zwei Polsterproben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