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Kieselstrom Automation GmbH | Finanzbuchhaltung</w:t>
        <w:br/>
        <w:t>Bettina Rößler | finanzen@kieselstrom.example</w:t>
      </w:r>
    </w:p>
    <w:p>
      <w:r>
        <w:t>Hanna Weiß | Bestellkonto KA26077</w:t>
      </w:r>
    </w:p>
    <w:p>
      <w:r>
        <w:t>16.10.2026</w:t>
      </w:r>
    </w:p>
    <w:p>
      <w:pPr>
        <w:pStyle w:val="Title"/>
      </w:pPr>
      <w:r>
        <w:t>Zahlungsabgleich und offene Positionen</w:t>
      </w:r>
    </w:p>
    <w:p>
      <w:pPr/>
      <w:r>
        <w:t>Die Rechnung VS26219 über 57.600,00 EUR ist vollständig erfasst. Am 11. September wurden 17.280,00 EUR mit Referenz KA26077-A angezahlt. Am 7. Oktober wurden weitere 28.800,00 EUR mit Referenz VS26219-Teil überwiesen. Die Bankbestätigung weist beide Ausführungen aus; eine Rückbuchung liegt nicht vor. Insgesamt sind 46.080,00 EUR bezahlt. Offen bleiben 11.520,00 EUR.</w:t>
      </w:r>
    </w:p>
    <w:p>
      <w:pPr/>
      <w:r>
        <w:t>Der offene Betrag entspricht rechnerisch 24 mal 480,00 EUR. Das ist die vom Einkauf gewählte Einbehaltsgröße, keine bereits vereinbarte Minderung und keine Gutschrift der Verkäuferin. In deren E-Mail vom 7. Oktober wird der Abzug ausdrücklich nicht akzeptiert. Die 96 unauffälligen Geräte entsprechen einem Warenwert von 46.080,00 EUR. Aus der betragsgleichen Zahlung folgt nicht, dass die Zahlungen rechtlich auf bestimmte Seriennummern verteilt wurden.</w:t>
      </w:r>
    </w:p>
    <w:p>
      <w:pPr/>
      <w:r>
        <w:t>Die Frachtrechnung PV26901 über 780,00 EUR netto wurde am 28. September bezahlt. Diese Zahlung wurde nicht vom Warenkaufpreis abgezogen. Der Transportversicherer hat bis zum Kontoauszug vom 16. Oktober nichts ausgezahlt. Die Versicherungssumme von 63.360,00 EUR wird nicht als Forderung gebucht.</w:t>
      </w:r>
    </w:p>
    <w:p>
      <w:pPr/>
      <w:r>
        <w:t>Für die Untersuchung AM26104 wurde ein Kostenvoranschlag über 1.260,00 EUR netto akzeptiert. Eine abschließende Laborrechnung liegt der Buchhaltung noch nicht vor; daher steht hier keine bereits bezahlte Ausgabe. Eine Reparaturrechnung gibt es ebenfalls nicht. Die Instandhaltung nennt telefonisch 95,00 EUR je Sensor als mögliche Arbeitsgröße, aber ohne schriftliches Angebot und ohne Zusage der Kalibrierfähigkeit.</w:t>
      </w:r>
    </w:p>
    <w:p>
      <w:pPr/>
      <w:r>
        <w:t>Bitte teilen Sie eine spätere Gutschrift oder Versicherungsleistung mit ihrer genauen Zuordnung mit. Wir werden weder den offenen Kaufpreis stillschweigend ausbuchen noch eine Ersatzlieferung als kostenfrei erfassen, bevor hierzu eine Unterlage vorliegt.</w:t>
      </w:r>
    </w:p>
    <w:p>
      <w:pPr/>
      <w:r>
        <w:t>Bettina Rößler</w:t>
        <w:br/>
        <w:t>Abgleich abgeschlossen am 16.10.2026, 10:50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Zahlungsabgleich und offene Positionen</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