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Bauunternehmen Mertens GmbH</w:t>
        <w:br/>
        <w:t>Siemensstraße 22, 32105 Bad Salzuflen</w:t>
      </w:r>
    </w:p>
    <w:p>
      <w:r>
        <w:t>Nora Brinkmann | Besprechungsvorbereitung</w:t>
      </w:r>
    </w:p>
    <w:p>
      <w:r>
        <w:t>25. September 2026, 15:00 Uhr</w:t>
      </w:r>
    </w:p>
    <w:p>
      <w:pPr>
        <w:pStyle w:val="Title"/>
      </w:pPr>
      <w:r>
        <w:t>Nachlieferung für den Freitagsabschluss</w:t>
      </w:r>
    </w:p>
    <w:p>
      <w:pPr>
        <w:pStyle w:val="Heading1"/>
        <w:keepNext/>
        <w:widowControl/>
        <w:spacing w:after="0"/>
      </w:pPr>
      <w:r>
        <w:t>1 Stand der Ablage</w:t>
      </w:r>
    </w:p>
    <w:p>
      <w:pPr>
        <w:keepNext/>
        <w:spacing w:before="0" w:after="0" w:line="220" w:lineRule="exact"/>
        <w:rPr>
          <w:sz w:val="22"/>
          <w:szCs w:val="22"/>
        </w:rPr>
      </w:pPr>
    </w:p>
    <w:p>
      <w:pPr>
        <w:widowControl/>
      </w:pPr>
      <w:r>
        <w:t>Nora, ich habe die Unterlagen zu unserem Besprechungstermin um 15:15 Uhr zusammengestellt. Die beiden Stapel betreffen weiterhin denselben Stand vom 25. September, 16:00 Uhr. In den nachgereichten Unterlagen sind keine weiteren Lieferantenrechnungen enthalten. Die ergänzten Aufmaße, Mietaufstellungen und Rückmeldungen gehören zu bereits erfassten Rechnungen. Bitte lege sie bei diesen Rechnungen ab; die Nummern 58 bis 75 sind Dokumentnummern unserer Ablage und keine neuen Buchungsnummern.</w:t>
      </w:r>
    </w:p>
    <w:p>
      <w:pPr>
        <w:pStyle w:val="Heading1"/>
        <w:keepNext/>
        <w:widowControl/>
        <w:spacing w:after="0"/>
      </w:pPr>
      <w:r>
        <w:t>2 Rückmeldungen der Bauleitung</w:t>
      </w:r>
    </w:p>
    <w:p>
      <w:pPr>
        <w:keepNext/>
        <w:spacing w:before="0" w:after="0" w:line="220" w:lineRule="exact"/>
        <w:rPr>
          <w:sz w:val="22"/>
          <w:szCs w:val="22"/>
        </w:rPr>
      </w:pPr>
    </w:p>
    <w:p>
      <w:pPr>
        <w:widowControl/>
      </w:pPr>
      <w:r>
        <w:t>Lea hat die Flächen zu Trockenbau Vogt nach Bereichen aufgeteilt und den Rücklauf der Schalungsplatten erläutert. Jan hat die Planlieferung von Retzer durchgesehen. Er möchte zwei Punkte zur Eingangstreppe noch beantwortet haben. Seine Notiz enthält deshalb keine Zahlungsfreigabe. Die Retzer-Rechnung und die Rechnung des Büros Seidel betreffen verschiedene Leistungen. Bitte beide Vorgänge mit ihren eigenen Rechnungsnummern weiterführen.</w:t>
      </w:r>
    </w:p>
    <w:p>
      <w:pPr>
        <w:widowControl/>
      </w:pPr>
      <w:r>
        <w:t>Mietpark Rethmar hat die Anrechnung unserer Teilzahlung bestätigt. Das ist ein anderer Lieferant als Weser Miettechnik. Die zusätzliche Zahlung an Weser vom 24. September bleibt bei uns ungeklärt. Enno Weber hat noch keine abschließende Zuordnung geschickt. Auch eine Rücküberweisung ist nicht eingegangen. Die offenen Unterlagen zum Bauabzug bei Vogt und Ahle sind ebenfalls noch nicht vollständig.</w:t>
      </w:r>
    </w:p>
    <w:p>
      <w:pPr>
        <w:pStyle w:val="Heading1"/>
        <w:keepNext/>
        <w:widowControl/>
        <w:spacing w:after="0"/>
      </w:pPr>
      <w:r>
        <w:t>3 Übergabe an die Buchhaltung</w:t>
      </w:r>
    </w:p>
    <w:p>
      <w:pPr>
        <w:keepNext/>
        <w:spacing w:before="0" w:after="0" w:line="220" w:lineRule="exact"/>
        <w:rPr>
          <w:sz w:val="22"/>
          <w:szCs w:val="22"/>
        </w:rPr>
      </w:pPr>
    </w:p>
    <w:p>
      <w:pPr>
        <w:widowControl/>
      </w:pPr>
      <w:r>
        <w:t>Bitte übernimm die neuen Angaben in die ergänzenden Excel-Mappen und notiere dort jeweils den Beleg. Die alten Mappen 24, 25 und 55 sollen als damaliger Arbeitsstand erhalten bleiben. Bei der Freigabe unterscheiden wir zwischen einem erfassten offenen Posten und einer Zahlung, die ich tatsächlich anweisen soll. Neue Bankumsätze nach dem Stichtag darfst du erst mit einem neuen Kontoauszug ergänzen.</w:t>
      </w:r>
    </w:p>
    <w:p>
      <w:pPr>
        <w:widowControl/>
      </w:pPr>
      <w:r>
        <w:t>Für den nächsten Lauf möchte ich eine kurze Liste der Unterlagen sehen, die noch fehlen, und eine Vorschau je Bankkonto. Die Projektkonto- und Betriebskontobestände sollen getrennt bleiben. Einen Umbuchungsauftrag zwischen beiden Konten habe ich nicht erteilt.</w:t>
      </w:r>
    </w:p>
    <w:p>
      <w:pPr>
        <w:widowControl/>
      </w:pPr>
      <w:r>
        <w:t>Tobias Mertens</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Nachlieferung für den Freitagsabschluss</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