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Brinkmann</w:t>
        <w:br/>
        <w:t>Kaufmännische Leitung | Bauunternehmen Mertens GmbH</w:t>
      </w:r>
    </w:p>
    <w:p>
      <w:r>
        <w:t>Buchhaltung und Vertretung</w:t>
      </w:r>
    </w:p>
    <w:p>
      <w:r>
        <w:t>25. September 2026, 15:40 Uhr</w:t>
      </w:r>
    </w:p>
    <w:p>
      <w:pPr>
        <w:pStyle w:val="Title"/>
      </w:pPr>
      <w:r>
        <w:t>Arbeitsanweisung für die ergänzenden Mappen</w:t>
      </w:r>
    </w:p>
    <w:p>
      <w:pPr>
        <w:pStyle w:val="Heading1"/>
        <w:keepNext/>
        <w:widowControl/>
        <w:spacing w:after="0"/>
      </w:pPr>
      <w:r>
        <w:t>1 Ablage und Eingaben</w:t>
      </w:r>
    </w:p>
    <w:p>
      <w:pPr>
        <w:keepNext/>
        <w:spacing w:before="0" w:after="0" w:line="220" w:lineRule="exact"/>
        <w:rPr>
          <w:sz w:val="22"/>
          <w:szCs w:val="22"/>
        </w:rPr>
      </w:pPr>
    </w:p>
    <w:p>
      <w:pPr>
        <w:widowControl/>
      </w:pPr>
      <w:r>
        <w:t>Die Mappen 72 bis 75 führen die vorhandenen Belege für unseren Freitagsabschluss zusammen. Bitte vor Änderungen eine eigene Arbeitskopie speichern. Blau gesetzte Zahlen und Eingabefelder stammen aus Belegen oder sind von uns zu pflegen. Schwarz gesetzte Beträge werden gerechnet; grüne Formeln übernehmen Werte aus einem anderen Blatt derselben Mappe. Die Kopfzeile jedes Blatts nennt Einheit und Stichtag. Eine leere Freigabe bedeutet, dass die Entscheidung noch aussteht.</w:t>
      </w:r>
    </w:p>
    <w:p>
      <w:pPr>
        <w:pStyle w:val="Heading1"/>
        <w:keepNext/>
        <w:widowControl/>
        <w:spacing w:after="0"/>
      </w:pPr>
      <w:r>
        <w:t>2 Rechnungen und Zahlungen</w:t>
      </w:r>
    </w:p>
    <w:p>
      <w:pPr>
        <w:keepNext/>
        <w:spacing w:before="0" w:after="0" w:line="220" w:lineRule="exact"/>
        <w:rPr>
          <w:sz w:val="22"/>
          <w:szCs w:val="22"/>
        </w:rPr>
      </w:pPr>
    </w:p>
    <w:p>
      <w:pPr>
        <w:widowControl/>
      </w:pPr>
      <w:r>
        <w:t>In Mappe 72 stehen die Rechnungsbeträge, die bereits erfassten Korrekturen und die zugeordneten Zahlungen nebeneinander. Die Belegwege sind gesondert erklärt. Der Sicherheitseinbehalt zu Röding bleibt ein Teil der offenen Verbindlichkeit. Die zusätzliche Weser-Zahlung über 1.785,00 EUR hat keine belastbare Rechnungszuordnung und wird dort nicht gegen eine andere Mietrechnung verrechnet.</w:t>
      </w:r>
    </w:p>
    <w:p>
      <w:pPr>
        <w:widowControl/>
      </w:pPr>
      <w:r>
        <w:t>Die Stundenmappe 73 zeigt den Übergang von den Auguststunden zu Bruttolohn und Arbeitgeberbelastung. Ihre Summe ist ein Kostenwert. Für den Geldabfluss sind daneben die drei Bankzahlungen zu betrachten. Der Arbeitgeberanteil darf nicht ein zweites Mal zu der bereits vollständigen Auszahlungssumme addiert werden.</w:t>
      </w:r>
    </w:p>
    <w:p>
      <w:pPr>
        <w:pStyle w:val="Heading1"/>
        <w:keepNext/>
        <w:widowControl/>
        <w:spacing w:after="0"/>
      </w:pPr>
      <w:r>
        <w:t>3 Miete und Zahlungsplanung</w:t>
      </w:r>
    </w:p>
    <w:p>
      <w:pPr>
        <w:keepNext/>
        <w:spacing w:before="0" w:after="0" w:line="220" w:lineRule="exact"/>
        <w:rPr>
          <w:sz w:val="22"/>
          <w:szCs w:val="22"/>
        </w:rPr>
      </w:pPr>
    </w:p>
    <w:p>
      <w:pPr>
        <w:widowControl/>
      </w:pPr>
      <w:r>
        <w:t>Mappe 74 trennt die Mietrechnungen nach Lieferant und Bankkonto. Die Vorgangsnummer führt zum Mietnachweis. Der ähnliche Begriff Mietpark im Banktext ist kein Beweis, dass eine Zahlung zu Rethmar gehört.</w:t>
      </w:r>
    </w:p>
    <w:p>
      <w:pPr>
        <w:widowControl/>
      </w:pPr>
      <w:r>
        <w:t>In Mappe 75 sind fünf Zeilen für einen späteren Zahlungsvorschlag vorbereitet. Die Freigabefelder stehen zunächst auf offen. Ein Betrag an den Lieferanten und eine etwaige gesonderte Steuerzahlung werden erst nach Prüfung eingetragen. Ist kein gesonderter Abfluss erforderlich, ist ausdrücklich 0 einzutragen. Die Formel soll unvollständige Angaben sichtbar lassen. Eine Tabellenzeile führt keinen Bankauftrag aus.</w:t>
      </w:r>
    </w:p>
    <w:p>
      <w:pPr>
        <w:pStyle w:val="Heading1"/>
        <w:keepNext/>
        <w:widowControl/>
        <w:spacing w:after="0"/>
      </w:pPr>
      <w:r>
        <w:t>4 Weitere Bearbeitung</w:t>
      </w:r>
    </w:p>
    <w:p>
      <w:pPr>
        <w:keepNext/>
        <w:spacing w:before="0" w:after="0" w:line="220" w:lineRule="exact"/>
        <w:rPr>
          <w:sz w:val="22"/>
          <w:szCs w:val="22"/>
        </w:rPr>
      </w:pPr>
    </w:p>
    <w:p>
      <w:pPr>
        <w:widowControl/>
      </w:pPr>
      <w:r>
        <w:t>Bitte zu jeder Freigabe Namen, Zeitpunkt und Beleg im Kommentarbereich ergänzen. Bei neuen Bankumsätzen ist zuerst die Quelle zu sichern. Das Blatt mit den Bankbeständen ist eine Vorschau auf Basis der beiden Kontoauszüge, kein aktueller Abruf aus dem Bankportal. Die ursprünglichen Dateien 24, 25 und 55 werden nicht überschrieben.</w:t>
      </w:r>
    </w:p>
    <w:p>
      <w:pPr>
        <w:widowControl/>
      </w:pPr>
      <w:r>
        <w:t>Nora Brinkmann</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Arbeitsanweisung für die ergänzenden Mappen</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