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Bauunternehmen Mertens GmbH</w:t>
        <w:br/>
        <w:t>Siemensstraße 22, 32105 Bad Salzuflen</w:t>
      </w:r>
    </w:p>
    <w:p>
      <w:r>
        <w:t>Tobias Mertens | Geschäftsführung</w:t>
      </w:r>
    </w:p>
    <w:p>
      <w:r>
        <w:t>25. September 2026, 15:35 Uhr</w:t>
      </w:r>
    </w:p>
    <w:p>
      <w:pPr>
        <w:pStyle w:val="Title"/>
      </w:pPr>
      <w:r>
        <w:t>Besprechung zum nächsten Zahlungslauf</w:t>
      </w:r>
    </w:p>
    <w:p>
      <w:pPr>
        <w:pStyle w:val="Heading1"/>
        <w:keepNext/>
        <w:widowControl/>
        <w:spacing w:after="0"/>
      </w:pPr>
      <w:r>
        <w:t>1 Teilnehmer und Ausgangsstand</w:t>
      </w:r>
    </w:p>
    <w:p>
      <w:pPr>
        <w:keepNext/>
        <w:spacing w:before="0" w:after="0" w:line="220" w:lineRule="exact"/>
        <w:rPr>
          <w:sz w:val="22"/>
          <w:szCs w:val="22"/>
        </w:rPr>
      </w:pPr>
    </w:p>
    <w:p>
      <w:pPr>
        <w:widowControl/>
      </w:pPr>
      <w:r>
        <w:t>Tobias Mertens und Nora Brinkmann haben am 25. September von 15:15 bis 15:35 Uhr den offenen Postenbestand besprochen. Jan Hellwig war für die Rückfragen zu Lage telefonisch zugeschaltet. Grundlage waren die beiden Kontoauszüge bis zum heutigen Stichtag und die nachgereichten Leistungsnachweise. Während der Besprechung wurde kein Bankauftrag angelegt oder freigegeben.</w:t>
      </w:r>
    </w:p>
    <w:p>
      <w:pPr>
        <w:pStyle w:val="Heading1"/>
        <w:keepNext/>
        <w:widowControl/>
        <w:spacing w:after="0"/>
      </w:pPr>
      <w:r>
        <w:t>2 Besprochene Rechnungen</w:t>
      </w:r>
    </w:p>
    <w:p>
      <w:pPr>
        <w:keepNext/>
        <w:spacing w:before="0" w:after="0" w:line="220" w:lineRule="exact"/>
        <w:rPr>
          <w:sz w:val="22"/>
          <w:szCs w:val="22"/>
        </w:rPr>
      </w:pPr>
    </w:p>
    <w:p>
      <w:pPr>
        <w:widowControl/>
      </w:pPr>
      <w:r>
        <w:t>Rethmar führt nach der Teilzahlung noch 571,00 EUR offen. Nora soll den Belegweg für den nächsten Lauf zusammenstellen. Tobias möchte die endgültige Liste am Montag vor Ausführung noch einmal sehen. Eine Vorabfreigabe für einen Bankauftrag hat er heute nicht erteilt. Die offene Weser-Zuordnung über 1.785,00 EUR bleibt bei Enno Weber in Klärung. Sie soll nicht mit Rethmar saldiert werden.</w:t>
      </w:r>
    </w:p>
    <w:p>
      <w:pPr>
        <w:widowControl/>
      </w:pPr>
      <w:r>
        <w:t>Zu Retzer wartet Jan auf die Erläuterung zum Bestandsmaß und zur Türdarstellung. Zur Tragwerksplanung Seidel steht seine gesonderte Rückmeldung weiter aus. Nora soll die beiden offenen Rechnungen weiterführen und die Freigabe jeweils gesondert dokumentieren. Der Eingang der Rechnung allein genügt Tobias für die Anweisung nicht.</w:t>
      </w:r>
    </w:p>
    <w:p>
      <w:pPr>
        <w:pStyle w:val="Heading1"/>
        <w:keepNext/>
        <w:widowControl/>
        <w:spacing w:after="0"/>
      </w:pPr>
      <w:r>
        <w:t>3 Unterlagen zum Bauabzug</w:t>
      </w:r>
    </w:p>
    <w:p>
      <w:pPr>
        <w:keepNext/>
        <w:spacing w:before="0" w:after="0" w:line="220" w:lineRule="exact"/>
        <w:rPr>
          <w:sz w:val="22"/>
          <w:szCs w:val="22"/>
        </w:rPr>
      </w:pPr>
    </w:p>
    <w:p>
      <w:pPr>
        <w:widowControl/>
      </w:pPr>
      <w:r>
        <w:t>Bei Vogt und Ahle sind die Bescheinigungen und der Jahresumfang noch zu klären. Die Nachweise zur ausgeführten Leistung liegen nun detaillierter vor. Tobias bittet Nora, die steuerliche Behandlung vor einer Auszahlung mit dem betreuenden Steuerbüro abzustimmen. Ein bestimmter Abzugsbetrag wurde in dieser Besprechung nicht festgelegt. Die steuerlichen Rückfragen sind unabhängig davon zu bearbeiten, dass die Rechnungen keine vom Lieferanten berechnete Umsatzsteuer enthalten.</w:t>
      </w:r>
    </w:p>
    <w:p>
      <w:pPr>
        <w:pStyle w:val="Heading1"/>
        <w:keepNext/>
        <w:widowControl/>
        <w:spacing w:after="0"/>
      </w:pPr>
      <w:r>
        <w:t>4 Konten und Abschluss</w:t>
      </w:r>
    </w:p>
    <w:p>
      <w:pPr>
        <w:keepNext/>
        <w:spacing w:before="0" w:after="0" w:line="220" w:lineRule="exact"/>
        <w:rPr>
          <w:sz w:val="22"/>
          <w:szCs w:val="22"/>
        </w:rPr>
      </w:pPr>
    </w:p>
    <w:p>
      <w:pPr>
        <w:widowControl/>
      </w:pPr>
      <w:r>
        <w:t>Der Betriebskontoauszug endet mit 79.211,80 EUR, der Projektkontoauszug mit 38.218,80 EUR. Es wurde keine Umbuchung zwischen den Konten beschlossen. Eine Liquiditätsvorschau soll beide Konten getrennt fortführen. Tobias entscheidet über die nächste Liste nach Sichtung der ergänzten Freigaben. Nora hält die ursprünglichen offenen Posten und die später tatsächlich ausgeführten Zahlungen getrennt fest.</w:t>
      </w:r>
    </w:p>
    <w:p>
      <w:pPr>
        <w:widowControl/>
      </w:pPr>
      <w:r>
        <w:t>Aufgezeichnet Nora Brinkmann</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52"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Besprechung zum nächsten Zahlungslauf</dc:title>
  <dc:subject/>
  <dc:creator>Klotzkette</dc:creator>
  <cp:keywords/>
  <dc:description>generated by python-docx</dc:description>
  <cp:lastModifiedBy>Klotzkette</cp:lastModifiedBy>
  <cp:revision>1</cp:revision>
  <dcterms:created xsi:type="dcterms:W3CDTF">2026-09-25T16:00:00Z</dcterms:created>
  <dcterms:modified xsi:type="dcterms:W3CDTF">2026-09-25T16:00:00Z</dcterms:modified>
  <cp:category/>
  <dc:language>de-DE</dc:language>
</cp:coreProperties>
</file>