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Sabine Krüger | Lohnbüro</w:t>
      </w:r>
    </w:p>
    <w:p>
      <w:r>
        <w:t>Nora Brinkmann</w:t>
        <w:br/>
        <w:t>Bauunternehmen Mertens GmbH</w:t>
      </w:r>
    </w:p>
    <w:p>
      <w:r>
        <w:t>25. September 2026, 14:20 Uhr</w:t>
      </w:r>
    </w:p>
    <w:p>
      <w:pPr>
        <w:pStyle w:val="Title"/>
      </w:pPr>
      <w:r>
        <w:t>Auguststunden und Zahlungen im September</w:t>
      </w:r>
    </w:p>
    <w:p>
      <w:pPr>
        <w:pStyle w:val="Heading1"/>
        <w:keepNext/>
        <w:widowControl/>
        <w:spacing w:after="0"/>
      </w:pPr>
      <w:r>
        <w:t>1 Herkunft der Stunden</w:t>
      </w:r>
    </w:p>
    <w:p>
      <w:pPr>
        <w:keepNext/>
        <w:spacing w:before="0" w:after="0" w:line="220" w:lineRule="exact"/>
        <w:rPr>
          <w:sz w:val="22"/>
          <w:szCs w:val="22"/>
        </w:rPr>
      </w:pPr>
    </w:p>
    <w:p>
      <w:pPr>
        <w:widowControl/>
      </w:pPr>
      <w:r>
        <w:t>Die übergebenen 700 Stunden betreffen den Abrechnungsmonat August 2026. Für die Personalnummern P001 bis P010 wurden jeweils 70 Stunden zu 30,00 EUR erfasst. Die Personen P001 bis P006 sind im übergebenen Stundenbestand vollständig BS26-01 zugeordnet; P007 bis P010 sind BS26-02 zugeordnet. Eine Änderung dieser Verteilung ist in den nachgereichten Unterlagen nicht enthalten.</w:t>
      </w:r>
    </w:p>
    <w:p>
      <w:pPr>
        <w:pStyle w:val="Heading1"/>
        <w:keepNext/>
        <w:widowControl/>
        <w:spacing w:after="0"/>
      </w:pPr>
      <w:r>
        <w:t>2 Kostenansatz</w:t>
      </w:r>
    </w:p>
    <w:p>
      <w:pPr>
        <w:keepNext/>
        <w:spacing w:before="0" w:after="0" w:line="220" w:lineRule="exact"/>
        <w:rPr>
          <w:sz w:val="22"/>
          <w:szCs w:val="22"/>
        </w:rPr>
      </w:pPr>
    </w:p>
    <w:p>
      <w:pPr>
        <w:widowControl/>
      </w:pPr>
      <w:r>
        <w:t>Je Person ergeben sich 2.100,00 EUR Bruttolohn und 440,00 EUR Arbeitgeberbelastung. Die Bruttolohnsumme beträgt damit 21.000,00 EUR, die Arbeitgeberbelastung 4.400,00 EUR. Für diese Abrechnung beträgt der gesamte Personalaufwand 25.400,00 EUR. Die Aufteilung nach Projekt folgt den übergebenen Stunden und ordnet auch die jeweilige Arbeitgeberbelastung dem zugehörigen Projekt zu. Es handelt sich um die vorliegende Lohnzusammenfassung, nicht um eine Neuberechnung individueller Abgaben.</w:t>
      </w:r>
    </w:p>
    <w:p>
      <w:pPr>
        <w:pStyle w:val="Heading1"/>
        <w:keepNext/>
        <w:widowControl/>
        <w:spacing w:after="0"/>
      </w:pPr>
      <w:r>
        <w:t>3 Zahlungsnachweise</w:t>
      </w:r>
    </w:p>
    <w:p>
      <w:pPr>
        <w:keepNext/>
        <w:spacing w:before="0" w:after="0" w:line="220" w:lineRule="exact"/>
        <w:rPr>
          <w:sz w:val="22"/>
          <w:szCs w:val="22"/>
        </w:rPr>
      </w:pPr>
    </w:p>
    <w:p>
      <w:pPr>
        <w:widowControl/>
      </w:pPr>
      <w:r>
        <w:t>Auf dem Betriebskonto sind im September 15.700,00 EUR Nettolohn, 7.700,00 EUR Sozialversicherung und 2.000,00 EUR Lohnsteuer ausgeführt worden. Die Sozialversicherungszahlung enthält 3.300,00 EUR Arbeitnehmeranteile und 4.400,00 EUR Arbeitgeberanteile. Die drei Zahlungen ergeben zusammen 25.400,00 EUR. Die Arbeitgeberanteile sind darin bereits enthalten.</w:t>
      </w:r>
    </w:p>
    <w:p>
      <w:pPr>
        <w:widowControl/>
      </w:pPr>
      <w:r>
        <w:t>Der zeitliche Unterschied ist für die Abstimmung festzuhalten: Die Arbeitsleistung gehört in den August, die bezeichneten Geldabflüsse liegen im September. Aus dem Zahlungsdatum folgt kein zweiter Septemberlohnaufwand. Die Personalnummern dienen der Zuordnung im übergebenen Stundenbestand; Namen und individuelle Lohnsteuermerkmale werden hierfür nicht benötigt.</w:t>
      </w:r>
    </w:p>
    <w:p>
      <w:pPr>
        <w:widowControl/>
      </w:pPr>
      <w:r>
        <w:t>Bitte richten Sie Rückfragen zu den Summen an unser Büro und ändern Sie die Abrechnung nicht anhand einer bloßen Differenz in einer Projektliste. Bei einer späteren Korrektur würden wir eine gekennzeichnete neue Abrechnung übergeben.</w:t>
      </w:r>
    </w:p>
    <w:p>
      <w:pPr>
        <w:widowControl/>
      </w:pPr>
      <w:r>
        <w:t>Sabine Krüger</w:t>
        <w:br/>
        <w:t>Lohnbüro</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Auguststunden und Zahlungen im September</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