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Hartwig Architektur · Lena Hartwig</w:t>
      </w:r>
    </w:p>
    <w:p>
      <w:r>
        <w:t>Bürgerhaus Leinewinkel · Projekt BH-21-04</w:t>
        <w:br/>
        <w:t>An Torsten Albrecht und den Vorstand</w:t>
      </w:r>
    </w:p>
    <w:p>
      <w:r>
        <w:t>Einbeck, 23.09.2026</w:t>
      </w:r>
    </w:p>
    <w:p>
      <w:pPr>
        <w:pStyle w:val="Title"/>
      </w:pPr>
      <w:r>
        <w:t>Erläuterung des Aufmaßes AM 07</w:t>
      </w:r>
    </w:p>
    <w:p>
      <w:pPr>
        <w:widowControl/>
      </w:pPr>
      <w:r>
        <w:t>Sehr geehrter Herr Albrecht, für die Rückfragen des Vorstands erläutern wir die am 16.02.2024 in AM-07 festgehaltenen Schlussmengen. Diese Erläuterung ist eine Übertragung aus Datei 35. Sie dokumentiert keine neue gemeinsame Vermessung und ergänzt keine fehlende Unterschrift unter einem ursprünglichen Messblatt.</w:t>
      </w:r>
    </w:p>
    <w:p>
      <w:pPr>
        <w:pStyle w:val="Heading1"/>
      </w:pPr>
      <w:r>
        <w:t>1 Mengen mit einfachen Flächenbezügen</w:t>
      </w:r>
    </w:p>
    <w:p>
      <w:pPr>
        <w:widowControl/>
      </w:pPr>
      <w:r>
        <w:t>Der selektive Rückbau betrifft den Bestand mit 18,00 m mal 12,00 m und damit 216,00 m². Die Bodenplatte und das Dach des Anbaus sind jeweils mit 10,00 m mal 8,00 m und damit 80,00 m² erfasst. Bei der Rampe ergeben 12,00 m Lauflänge mal 1,50 m Breite 18,00 m². Hinzu kommen das Zwischenpodest mit 2,25 m² und der in AM-07 gesondert beschriebene Anschlussstreifen mit 1,20 m². Zusammen sind dies 21,45 m² statt des ursprünglichen Ansatzes von 20,25 m².</w:t>
      </w:r>
    </w:p>
    <w:p>
      <w:pPr>
        <w:widowControl/>
      </w:pPr>
      <w:r>
        <w:t>Für den Anschlussstreifen enthält AM-07 die Fläche, aber keine getrennten Kantenlängen. Die neue Rechentabelle übernimmt daher 1,20 m² als dokumentierte Zusatzfläche und erfindet keinen nachträglich bemaßten Plan. Bei der Rinne werden 9,00 m Grundlänge und 0,40 m angepasstes Endstück zu 9,40 m addiert.</w:t>
      </w:r>
    </w:p>
    <w:p>
      <w:pPr>
        <w:pStyle w:val="Heading1"/>
      </w:pPr>
      <w:r>
        <w:t>2 Mengen verdeckter oder ergänzter Leistungen</w:t>
      </w:r>
    </w:p>
    <w:tbl>
      <w:tblPr>
        <w:tblW w:type="auto" w:w="0"/>
        <w:tblLayout w:type="fixed"/>
        <w:tblLook w:firstColumn="1" w:firstRow="1" w:lastColumn="0" w:lastRow="0" w:noHBand="0" w:noVBand="1" w:val="04A0"/>
      </w:tblPr>
      <w:tblGrid>
        <w:gridCol w:w="1757"/>
        <w:gridCol w:w="2438"/>
        <w:gridCol w:w="5329"/>
      </w:tblGrid>
      <w:tr>
        <w:trPr>
          <w:cantSplit/>
          <w:tblHeader/>
        </w:trPr>
        <w:tc>
          <w:tcPr>
            <w:tcW w:type="dxa" w:w="1757"/>
            <w:tcBorders>
              <w:top w:val="single" w:sz="4" w:color="D9D9D9"/>
              <w:left w:val="single" w:sz="4" w:color="D9D9D9"/>
              <w:bottom w:val="single" w:sz="4" w:color="D9D9D9"/>
              <w:right w:val="single" w:sz="4" w:color="D9D9D9"/>
            </w:tcBorders>
          </w:tcPr>
          <w:p>
            <w:pPr>
              <w:spacing w:after="100" w:before="100"/>
            </w:pPr>
            <w:r>
              <w:rPr>
                <w:b/>
                <w:sz w:val="22"/>
              </w:rPr>
              <w:t>Position</w:t>
            </w:r>
          </w:p>
        </w:tc>
        <w:tc>
          <w:tcPr>
            <w:tcW w:type="dxa" w:w="2438"/>
            <w:tcBorders>
              <w:top w:val="single" w:sz="4" w:color="D9D9D9"/>
              <w:left w:val="single" w:sz="4" w:color="D9D9D9"/>
              <w:bottom w:val="single" w:sz="4" w:color="D9D9D9"/>
              <w:right w:val="single" w:sz="4" w:color="D9D9D9"/>
            </w:tcBorders>
          </w:tcPr>
          <w:p>
            <w:pPr>
              <w:spacing w:after="100" w:before="100"/>
            </w:pPr>
            <w:r>
              <w:rPr>
                <w:b/>
                <w:sz w:val="22"/>
              </w:rPr>
              <w:t>Übertrag aus AM-07</w:t>
            </w:r>
          </w:p>
        </w:tc>
        <w:tc>
          <w:tcPr>
            <w:tcW w:type="dxa" w:w="5329"/>
            <w:tcBorders>
              <w:top w:val="single" w:sz="4" w:color="D9D9D9"/>
              <w:left w:val="single" w:sz="4" w:color="D9D9D9"/>
              <w:bottom w:val="single" w:sz="4" w:color="D9D9D9"/>
              <w:right w:val="single" w:sz="4" w:color="D9D9D9"/>
            </w:tcBorders>
          </w:tcPr>
          <w:p>
            <w:pPr>
              <w:spacing w:after="100" w:before="100"/>
            </w:pPr>
            <w:r>
              <w:rPr>
                <w:b/>
                <w:sz w:val="22"/>
              </w:rPr>
              <w:t>Verbleibende Nachweisfrage</w:t>
            </w:r>
          </w:p>
        </w:tc>
      </w:tr>
      <w:tr>
        <w:trPr>
          <w:cantSplit/>
        </w:trPr>
        <w:tc>
          <w:tcPr>
            <w:tcW w:type="dxa" w:w="1757"/>
            <w:tcBorders>
              <w:top w:val="single" w:sz="4" w:color="D9D9D9"/>
              <w:left w:val="single" w:sz="4" w:color="D9D9D9"/>
              <w:bottom w:val="single" w:sz="4" w:color="D9D9D9"/>
              <w:right w:val="single" w:sz="4" w:color="D9D9D9"/>
            </w:tcBorders>
          </w:tcPr>
          <w:p>
            <w:pPr>
              <w:spacing w:after="100" w:before="100"/>
            </w:pPr>
            <w:r>
              <w:rPr>
                <w:b w:val="0"/>
                <w:sz w:val="22"/>
              </w:rPr>
              <w:t>2.3 Aushub</w:t>
            </w:r>
          </w:p>
        </w:tc>
        <w:tc>
          <w:tcPr>
            <w:tcW w:type="dxa" w:w="2438"/>
            <w:tcBorders>
              <w:top w:val="single" w:sz="4" w:color="D9D9D9"/>
              <w:left w:val="single" w:sz="4" w:color="D9D9D9"/>
              <w:bottom w:val="single" w:sz="4" w:color="D9D9D9"/>
              <w:right w:val="single" w:sz="4" w:color="D9D9D9"/>
            </w:tcBorders>
          </w:tcPr>
          <w:p>
            <w:pPr>
              <w:spacing w:after="100" w:before="100"/>
            </w:pPr>
            <w:r>
              <w:rPr>
                <w:b w:val="0"/>
                <w:sz w:val="22"/>
              </w:rPr>
              <w:t>60,00 + 6,00 = 66,00 m³</w:t>
            </w:r>
          </w:p>
        </w:tc>
        <w:tc>
          <w:tcPr>
            <w:tcW w:type="dxa" w:w="5329"/>
            <w:tcBorders>
              <w:top w:val="single" w:sz="4" w:color="D9D9D9"/>
              <w:left w:val="single" w:sz="4" w:color="D9D9D9"/>
              <w:bottom w:val="single" w:sz="4" w:color="D9D9D9"/>
              <w:right w:val="single" w:sz="4" w:color="D9D9D9"/>
            </w:tcBorders>
          </w:tcPr>
          <w:p>
            <w:pPr>
              <w:spacing w:after="100" w:before="100"/>
            </w:pPr>
            <w:r>
              <w:rPr>
                <w:b w:val="0"/>
                <w:sz w:val="22"/>
              </w:rPr>
              <w:t>Aufnahme vor Betonage vom 20.09.2023 nicht als Einzelblatt in dieser Mappe.</w:t>
            </w:r>
          </w:p>
        </w:tc>
      </w:tr>
      <w:tr>
        <w:trPr>
          <w:cantSplit/>
        </w:trPr>
        <w:tc>
          <w:tcPr>
            <w:tcW w:type="dxa" w:w="1757"/>
            <w:tcBorders>
              <w:top w:val="single" w:sz="4" w:color="D9D9D9"/>
              <w:left w:val="single" w:sz="4" w:color="D9D9D9"/>
              <w:bottom w:val="single" w:sz="4" w:color="D9D9D9"/>
              <w:right w:val="single" w:sz="4" w:color="D9D9D9"/>
            </w:tcBorders>
          </w:tcPr>
          <w:p>
            <w:pPr>
              <w:spacing w:after="100" w:before="100"/>
            </w:pPr>
            <w:r>
              <w:rPr>
                <w:b w:val="0"/>
                <w:sz w:val="22"/>
              </w:rPr>
              <w:t>2.4 Fundamente</w:t>
            </w:r>
          </w:p>
        </w:tc>
        <w:tc>
          <w:tcPr>
            <w:tcW w:type="dxa" w:w="2438"/>
            <w:tcBorders>
              <w:top w:val="single" w:sz="4" w:color="D9D9D9"/>
              <w:left w:val="single" w:sz="4" w:color="D9D9D9"/>
              <w:bottom w:val="single" w:sz="4" w:color="D9D9D9"/>
              <w:right w:val="single" w:sz="4" w:color="D9D9D9"/>
            </w:tcBorders>
          </w:tcPr>
          <w:p>
            <w:pPr>
              <w:spacing w:after="100" w:before="100"/>
            </w:pPr>
            <w:r>
              <w:rPr>
                <w:b w:val="0"/>
                <w:sz w:val="22"/>
              </w:rPr>
              <w:t>24,00 + 1,20 = 25,20 m³</w:t>
            </w:r>
          </w:p>
        </w:tc>
        <w:tc>
          <w:tcPr>
            <w:tcW w:type="dxa" w:w="5329"/>
            <w:tcBorders>
              <w:top w:val="single" w:sz="4" w:color="D9D9D9"/>
              <w:left w:val="single" w:sz="4" w:color="D9D9D9"/>
              <w:bottom w:val="single" w:sz="4" w:color="D9D9D9"/>
              <w:right w:val="single" w:sz="4" w:color="D9D9D9"/>
            </w:tcBorders>
          </w:tcPr>
          <w:p>
            <w:pPr>
              <w:spacing w:after="100" w:before="100"/>
            </w:pPr>
            <w:r>
              <w:rPr>
                <w:b w:val="0"/>
                <w:sz w:val="22"/>
              </w:rPr>
              <w:t>Verbreiterung übernommen, keine neue geometrische Vermessung.</w:t>
            </w:r>
          </w:p>
        </w:tc>
      </w:tr>
      <w:tr>
        <w:trPr>
          <w:cantSplit/>
        </w:trPr>
        <w:tc>
          <w:tcPr>
            <w:tcW w:type="dxa" w:w="1757"/>
            <w:tcBorders>
              <w:top w:val="single" w:sz="4" w:color="D9D9D9"/>
              <w:left w:val="single" w:sz="4" w:color="D9D9D9"/>
              <w:bottom w:val="single" w:sz="4" w:color="D9D9D9"/>
              <w:right w:val="single" w:sz="4" w:color="D9D9D9"/>
            </w:tcBorders>
          </w:tcPr>
          <w:p>
            <w:pPr>
              <w:spacing w:after="100" w:before="100"/>
            </w:pPr>
            <w:r>
              <w:rPr>
                <w:b w:val="0"/>
                <w:sz w:val="22"/>
              </w:rPr>
              <w:t>2.7 Sockelabdichtung</w:t>
            </w:r>
          </w:p>
        </w:tc>
        <w:tc>
          <w:tcPr>
            <w:tcW w:type="dxa" w:w="2438"/>
            <w:tcBorders>
              <w:top w:val="single" w:sz="4" w:color="D9D9D9"/>
              <w:left w:val="single" w:sz="4" w:color="D9D9D9"/>
              <w:bottom w:val="single" w:sz="4" w:color="D9D9D9"/>
              <w:right w:val="single" w:sz="4" w:color="D9D9D9"/>
            </w:tcBorders>
          </w:tcPr>
          <w:p>
            <w:pPr>
              <w:spacing w:after="100" w:before="100"/>
            </w:pPr>
            <w:r>
              <w:rPr>
                <w:b w:val="0"/>
                <w:sz w:val="22"/>
              </w:rPr>
              <w:t>36,00 + 6,00 = 42,00 m²</w:t>
            </w:r>
          </w:p>
        </w:tc>
        <w:tc>
          <w:tcPr>
            <w:tcW w:type="dxa" w:w="5329"/>
            <w:tcBorders>
              <w:top w:val="single" w:sz="4" w:color="D9D9D9"/>
              <w:left w:val="single" w:sz="4" w:color="D9D9D9"/>
              <w:bottom w:val="single" w:sz="4" w:color="D9D9D9"/>
              <w:right w:val="single" w:sz="4" w:color="D9D9D9"/>
            </w:tcBorders>
          </w:tcPr>
          <w:p>
            <w:pPr>
              <w:spacing w:after="100" w:before="100"/>
            </w:pPr>
            <w:r>
              <w:rPr>
                <w:b w:val="0"/>
                <w:sz w:val="22"/>
              </w:rPr>
              <w:t>Feststellung vor Verfüllung am 03.10.2023 in AM-07 referenziert.</w:t>
            </w:r>
          </w:p>
        </w:tc>
      </w:tr>
      <w:tr>
        <w:trPr>
          <w:cantSplit/>
        </w:trPr>
        <w:tc>
          <w:tcPr>
            <w:tcW w:type="dxa" w:w="1757"/>
            <w:tcBorders>
              <w:top w:val="single" w:sz="4" w:color="D9D9D9"/>
              <w:left w:val="single" w:sz="4" w:color="D9D9D9"/>
              <w:bottom w:val="single" w:sz="4" w:color="D9D9D9"/>
              <w:right w:val="single" w:sz="4" w:color="D9D9D9"/>
            </w:tcBorders>
          </w:tcPr>
          <w:p>
            <w:pPr>
              <w:spacing w:after="100" w:before="100"/>
            </w:pPr>
            <w:r>
              <w:rPr>
                <w:b w:val="0"/>
                <w:sz w:val="22"/>
              </w:rPr>
              <w:t>2.8 Innenputz</w:t>
            </w:r>
          </w:p>
        </w:tc>
        <w:tc>
          <w:tcPr>
            <w:tcW w:type="dxa" w:w="2438"/>
            <w:tcBorders>
              <w:top w:val="single" w:sz="4" w:color="D9D9D9"/>
              <w:left w:val="single" w:sz="4" w:color="D9D9D9"/>
              <w:bottom w:val="single" w:sz="4" w:color="D9D9D9"/>
              <w:right w:val="single" w:sz="4" w:color="D9D9D9"/>
            </w:tcBorders>
          </w:tcPr>
          <w:p>
            <w:pPr>
              <w:spacing w:after="100" w:before="100"/>
            </w:pPr>
            <w:r>
              <w:rPr>
                <w:b w:val="0"/>
                <w:sz w:val="22"/>
              </w:rPr>
              <w:t>144,00 + 6,00 = 150,00 m²</w:t>
            </w:r>
          </w:p>
        </w:tc>
        <w:tc>
          <w:tcPr>
            <w:tcW w:type="dxa" w:w="5329"/>
            <w:tcBorders>
              <w:top w:val="single" w:sz="4" w:color="D9D9D9"/>
              <w:left w:val="single" w:sz="4" w:color="D9D9D9"/>
              <w:bottom w:val="single" w:sz="4" w:color="D9D9D9"/>
              <w:right w:val="single" w:sz="4" w:color="D9D9D9"/>
            </w:tcBorders>
          </w:tcPr>
          <w:p>
            <w:pPr>
              <w:spacing w:after="100" w:before="100"/>
            </w:pPr>
            <w:r>
              <w:rPr>
                <w:b w:val="0"/>
                <w:sz w:val="22"/>
              </w:rPr>
              <w:t>Zusatzfläche übernommen; keine flächige Feuchtemessung daraus ableitbar.</w:t>
            </w:r>
          </w:p>
        </w:tc>
      </w:tr>
    </w:tbl>
    <w:p>
      <w:r>
        <w:br w:type="page"/>
      </w:r>
    </w:p>
    <w:p>
      <w:pPr>
        <w:pStyle w:val="Heading1"/>
      </w:pPr>
      <w:r>
        <w:t>3 Trennung vom Nachtrag</w:t>
      </w:r>
    </w:p>
    <w:p>
      <w:pPr>
        <w:widowControl/>
      </w:pPr>
      <w:r>
        <w:t>Die 4,00 m³ Graben aus N01.2 betreffen die Leitungsumlegung und werden nur im Nachtragsblock gerechnet. Die 66,00 m³ der Position 2.3 enthalten diese Menge nach AM-07 ausdrücklich nicht. Würden beide Mengen in Position 2.3 zusammengeführt und N01.2 unverändert belassen, entstünde eine doppelte Mengenbasis. Die Nachtragsleitung beträgt 14,00 m, der Abtransport eine Pauschale und die Anschlussarbeit 16,00 Stunden.</w:t>
      </w:r>
    </w:p>
    <w:p>
      <w:pPr>
        <w:widowControl/>
      </w:pPr>
      <w:r>
        <w:t>Für N01.5 gibt es keine gemeinsame Mengenbestätigung. Zwei Tage zu 620,00 EUR sind die Behauptung von Leinebau. Der Auftrag vom 15.09.2023 ließ gerade diese Position offen. Die ergänzende Rechnung kann den geltend gemachten und einen frei einzugebenden Prüfanteil gegenüberstellen; sie kann aus der Zahl der Tage keinen Anspruch ableiten.</w:t>
      </w:r>
    </w:p>
    <w:p>
      <w:pPr>
        <w:widowControl/>
      </w:pPr>
      <w:r>
        <w:t>Bitte benennen Sie die Ablagestelle der ursprünglichen verdeckten Aufnahmen. Bis zu deren Eingang bleibt die Erläuterung auf AM-07 beschränkt. Die Mengenfeststellung sagt nichts Abschließendes über Mängelfreiheit, Höhenanschluss oder eine Zahlung aus.</w:t>
      </w:r>
    </w:p>
    <w:p>
      <w:pPr>
        <w:keepNext/>
      </w:pPr>
      <w:r>
        <w:t>gez. Lena Hartwig, Architektin</w:t>
      </w:r>
    </w:p>
    <w:p>
      <w:r>
        <w:t>Bezug: Die genannten Nummern bezeichnen eigenständige Unterlagen der Projektmappe. Anlagen: keine.</w:t>
      </w:r>
    </w:p>
    <w:sectPr w:rsidR="00FC693F" w:rsidRPr="0006063C" w:rsidSect="00034616">
      <w:footerReference w:type="default" r:id="rId9"/>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BH-21-04 · 46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line="252"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Erläuterung des Aufmaßes AM 07</dc:title>
  <dc:subject/>
  <dc:creator>Klotzkette</dc:creator>
  <cp:keywords/>
  <dc:description>generated by python-docx</dc:description>
  <cp:lastModifiedBy>Klotzkette</cp:lastModifiedBy>
  <cp:revision>1</cp:revision>
  <dcterms:created xsi:type="dcterms:W3CDTF">2026-09-23T00:00:00Z</dcterms:created>
  <dcterms:modified xsi:type="dcterms:W3CDTF">2026-09-23T00:00:00Z</dcterms:modified>
  <cp:category/>
  <dc:language>de-DE</dc:language>
</cp:coreProperties>
</file>