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Leinebau Hochbau GmbH · Torsten Albrecht</w:t>
      </w:r>
    </w:p>
    <w:p>
      <w:r>
        <w:t>Bürgerhaus Leinewinkel · Projekt BH-21-04</w:t>
        <w:br/>
        <w:t>An Hartwig Architektur und den Vorstand</w:t>
      </w:r>
    </w:p>
    <w:p>
      <w:r>
        <w:t>Einbeck, 24.09.2026</w:t>
      </w:r>
    </w:p>
    <w:p>
      <w:pPr>
        <w:pStyle w:val="Title"/>
      </w:pPr>
      <w:r>
        <w:t>Erläuterung der Gerätebereitschaft N01 5</w:t>
      </w:r>
    </w:p>
    <w:p>
      <w:pPr>
        <w:widowControl/>
      </w:pPr>
      <w:r>
        <w:t>Sehr geehrte Frau Hartwig, wir halten den in unserer Schlussrechnung LB-240301 enthaltenen Ansatz von zwei Tagen Gerätebereitschaft zu jeweils 620,00 EUR netto aufrecht. Auf Ihre Nachfrage erläutern wir die Kalkulation und unsere Erinnerung an den Ablauf. Dies ist keine neue Rechnung und kein beiderseits unterzeichneter Tagesnachweis.</w:t>
      </w:r>
    </w:p>
    <w:p>
      <w:pPr>
        <w:pStyle w:val="Heading1"/>
      </w:pPr>
      <w:r>
        <w:t>1 Zusammensetzung unseres Ansatzes</w:t>
      </w:r>
    </w:p>
    <w:tbl>
      <w:tblPr>
        <w:tblW w:type="auto" w:w="0"/>
        <w:tblLayout w:type="fixed"/>
        <w:tblLook w:firstColumn="1" w:firstRow="1" w:lastColumn="0" w:lastRow="0" w:noHBand="0" w:noVBand="1" w:val="04A0"/>
      </w:tblPr>
      <w:tblGrid>
        <w:gridCol w:w="2381"/>
        <w:gridCol w:w="2098"/>
        <w:gridCol w:w="5046"/>
      </w:tblGrid>
      <w:tr>
        <w:trPr>
          <w:cantSplit/>
          <w:tblHeader/>
        </w:trPr>
        <w:tc>
          <w:tcPr>
            <w:tcW w:type="dxa" w:w="2381"/>
            <w:tcBorders>
              <w:top w:val="single" w:sz="4" w:color="D9D9D9"/>
              <w:left w:val="single" w:sz="4" w:color="D9D9D9"/>
              <w:bottom w:val="single" w:sz="4" w:color="D9D9D9"/>
              <w:right w:val="single" w:sz="4" w:color="D9D9D9"/>
            </w:tcBorders>
          </w:tcPr>
          <w:p>
            <w:pPr>
              <w:spacing w:after="100" w:before="100"/>
            </w:pPr>
            <w:r>
              <w:rPr>
                <w:b/>
                <w:sz w:val="22"/>
              </w:rPr>
              <w:t>Bestandteil je Tag</w:t>
            </w:r>
          </w:p>
        </w:tc>
        <w:tc>
          <w:tcPr>
            <w:tcW w:type="dxa" w:w="2098"/>
            <w:tcBorders>
              <w:top w:val="single" w:sz="4" w:color="D9D9D9"/>
              <w:left w:val="single" w:sz="4" w:color="D9D9D9"/>
              <w:bottom w:val="single" w:sz="4" w:color="D9D9D9"/>
              <w:right w:val="single" w:sz="4" w:color="D9D9D9"/>
            </w:tcBorders>
          </w:tcPr>
          <w:p>
            <w:pPr>
              <w:spacing w:after="100" w:before="100"/>
            </w:pPr>
            <w:r>
              <w:rPr>
                <w:b/>
                <w:sz w:val="22"/>
              </w:rPr>
              <w:t>Ansatz netto</w:t>
            </w:r>
          </w:p>
        </w:tc>
        <w:tc>
          <w:tcPr>
            <w:tcW w:type="dxa" w:w="5046"/>
            <w:tcBorders>
              <w:top w:val="single" w:sz="4" w:color="D9D9D9"/>
              <w:left w:val="single" w:sz="4" w:color="D9D9D9"/>
              <w:bottom w:val="single" w:sz="4" w:color="D9D9D9"/>
              <w:right w:val="single" w:sz="4" w:color="D9D9D9"/>
            </w:tcBorders>
          </w:tcPr>
          <w:p>
            <w:pPr>
              <w:spacing w:after="100" w:before="100"/>
            </w:pPr>
            <w:r>
              <w:rPr>
                <w:b/>
                <w:sz w:val="22"/>
              </w:rPr>
              <w:t>Grundlage unserer Erklärung</w:t>
            </w:r>
          </w:p>
        </w:tc>
      </w:tr>
      <w:tr>
        <w:trPr>
          <w:cantSplit/>
        </w:trPr>
        <w:tc>
          <w:tcPr>
            <w:tcW w:type="dxa" w:w="2381"/>
            <w:tcBorders>
              <w:top w:val="single" w:sz="4" w:color="D9D9D9"/>
              <w:left w:val="single" w:sz="4" w:color="D9D9D9"/>
              <w:bottom w:val="single" w:sz="4" w:color="D9D9D9"/>
              <w:right w:val="single" w:sz="4" w:color="D9D9D9"/>
            </w:tcBorders>
          </w:tcPr>
          <w:p>
            <w:pPr>
              <w:spacing w:after="100" w:before="100"/>
            </w:pPr>
            <w:r>
              <w:rPr>
                <w:b w:val="0"/>
                <w:sz w:val="22"/>
              </w:rPr>
              <w:t>Gerätevorhaltung Kompaktbagger</w:t>
            </w:r>
          </w:p>
        </w:tc>
        <w:tc>
          <w:tcPr>
            <w:tcW w:type="dxa" w:w="2098"/>
            <w:tcBorders>
              <w:top w:val="single" w:sz="4" w:color="D9D9D9"/>
              <w:left w:val="single" w:sz="4" w:color="D9D9D9"/>
              <w:bottom w:val="single" w:sz="4" w:color="D9D9D9"/>
              <w:right w:val="single" w:sz="4" w:color="D9D9D9"/>
            </w:tcBorders>
          </w:tcPr>
          <w:p>
            <w:pPr>
              <w:spacing w:after="100" w:before="100"/>
            </w:pPr>
            <w:r>
              <w:rPr>
                <w:b w:val="0"/>
                <w:sz w:val="22"/>
              </w:rPr>
              <w:t>320,00 EUR</w:t>
            </w:r>
          </w:p>
        </w:tc>
        <w:tc>
          <w:tcPr>
            <w:tcW w:type="dxa" w:w="5046"/>
            <w:tcBorders>
              <w:top w:val="single" w:sz="4" w:color="D9D9D9"/>
              <w:left w:val="single" w:sz="4" w:color="D9D9D9"/>
              <w:bottom w:val="single" w:sz="4" w:color="D9D9D9"/>
              <w:right w:val="single" w:sz="4" w:color="D9D9D9"/>
            </w:tcBorders>
          </w:tcPr>
          <w:p>
            <w:pPr>
              <w:spacing w:after="100" w:before="100"/>
            </w:pPr>
            <w:r>
              <w:rPr>
                <w:b w:val="0"/>
                <w:sz w:val="22"/>
              </w:rPr>
              <w:t>Kalkulatorischer Tagessatz unseres eigenen Geräts; kein Mietbeleg eines Dritten.</w:t>
            </w:r>
          </w:p>
        </w:tc>
      </w:tr>
      <w:tr>
        <w:trPr>
          <w:cantSplit/>
        </w:trPr>
        <w:tc>
          <w:tcPr>
            <w:tcW w:type="dxa" w:w="2381"/>
            <w:tcBorders>
              <w:top w:val="single" w:sz="4" w:color="D9D9D9"/>
              <w:left w:val="single" w:sz="4" w:color="D9D9D9"/>
              <w:bottom w:val="single" w:sz="4" w:color="D9D9D9"/>
              <w:right w:val="single" w:sz="4" w:color="D9D9D9"/>
            </w:tcBorders>
          </w:tcPr>
          <w:p>
            <w:pPr>
              <w:spacing w:after="100" w:before="100"/>
            </w:pPr>
            <w:r>
              <w:rPr>
                <w:b w:val="0"/>
                <w:sz w:val="22"/>
              </w:rPr>
              <w:t>Fahrerbereitschaft</w:t>
            </w:r>
          </w:p>
        </w:tc>
        <w:tc>
          <w:tcPr>
            <w:tcW w:type="dxa" w:w="2098"/>
            <w:tcBorders>
              <w:top w:val="single" w:sz="4" w:color="D9D9D9"/>
              <w:left w:val="single" w:sz="4" w:color="D9D9D9"/>
              <w:bottom w:val="single" w:sz="4" w:color="D9D9D9"/>
              <w:right w:val="single" w:sz="4" w:color="D9D9D9"/>
            </w:tcBorders>
          </w:tcPr>
          <w:p>
            <w:pPr>
              <w:spacing w:after="100" w:before="100"/>
            </w:pPr>
            <w:r>
              <w:rPr>
                <w:b w:val="0"/>
                <w:sz w:val="22"/>
              </w:rPr>
              <w:t>8 h × 32,50 EUR = 260,00 EUR</w:t>
            </w:r>
          </w:p>
        </w:tc>
        <w:tc>
          <w:tcPr>
            <w:tcW w:type="dxa" w:w="5046"/>
            <w:tcBorders>
              <w:top w:val="single" w:sz="4" w:color="D9D9D9"/>
              <w:left w:val="single" w:sz="4" w:color="D9D9D9"/>
              <w:bottom w:val="single" w:sz="4" w:color="D9D9D9"/>
              <w:right w:val="single" w:sz="4" w:color="D9D9D9"/>
            </w:tcBorders>
          </w:tcPr>
          <w:p>
            <w:pPr>
              <w:spacing w:after="100" w:before="100"/>
            </w:pPr>
            <w:r>
              <w:rPr>
                <w:b w:val="0"/>
                <w:sz w:val="22"/>
              </w:rPr>
              <w:t>Interner Verrechnungssatz einschließlich Personalnebenkosten.</w:t>
            </w:r>
          </w:p>
        </w:tc>
      </w:tr>
      <w:tr>
        <w:trPr>
          <w:cantSplit/>
        </w:trPr>
        <w:tc>
          <w:tcPr>
            <w:tcW w:type="dxa" w:w="2381"/>
            <w:tcBorders>
              <w:top w:val="single" w:sz="4" w:color="D9D9D9"/>
              <w:left w:val="single" w:sz="4" w:color="D9D9D9"/>
              <w:bottom w:val="single" w:sz="4" w:color="D9D9D9"/>
              <w:right w:val="single" w:sz="4" w:color="D9D9D9"/>
            </w:tcBorders>
          </w:tcPr>
          <w:p>
            <w:pPr>
              <w:spacing w:after="100" w:before="100"/>
            </w:pPr>
            <w:r>
              <w:rPr>
                <w:b w:val="0"/>
                <w:sz w:val="22"/>
              </w:rPr>
              <w:t>Baustellenorganisation</w:t>
            </w:r>
          </w:p>
        </w:tc>
        <w:tc>
          <w:tcPr>
            <w:tcW w:type="dxa" w:w="2098"/>
            <w:tcBorders>
              <w:top w:val="single" w:sz="4" w:color="D9D9D9"/>
              <w:left w:val="single" w:sz="4" w:color="D9D9D9"/>
              <w:bottom w:val="single" w:sz="4" w:color="D9D9D9"/>
              <w:right w:val="single" w:sz="4" w:color="D9D9D9"/>
            </w:tcBorders>
          </w:tcPr>
          <w:p>
            <w:pPr>
              <w:spacing w:after="100" w:before="100"/>
            </w:pPr>
            <w:r>
              <w:rPr>
                <w:b w:val="0"/>
                <w:sz w:val="22"/>
              </w:rPr>
              <w:t>40,00 EUR</w:t>
            </w:r>
          </w:p>
        </w:tc>
        <w:tc>
          <w:tcPr>
            <w:tcW w:type="dxa" w:w="5046"/>
            <w:tcBorders>
              <w:top w:val="single" w:sz="4" w:color="D9D9D9"/>
              <w:left w:val="single" w:sz="4" w:color="D9D9D9"/>
              <w:bottom w:val="single" w:sz="4" w:color="D9D9D9"/>
              <w:right w:val="single" w:sz="4" w:color="D9D9D9"/>
            </w:tcBorders>
          </w:tcPr>
          <w:p>
            <w:pPr>
              <w:spacing w:after="100" w:before="100"/>
            </w:pPr>
            <w:r>
              <w:rPr>
                <w:b w:val="0"/>
                <w:sz w:val="22"/>
              </w:rPr>
              <w:t>Interner Ansatz für Disposition und Sicherung.</w:t>
            </w:r>
          </w:p>
        </w:tc>
      </w:tr>
      <w:tr>
        <w:trPr>
          <w:cantSplit/>
        </w:trPr>
        <w:tc>
          <w:tcPr>
            <w:tcW w:type="dxa" w:w="2381"/>
            <w:tcBorders>
              <w:top w:val="single" w:sz="4" w:color="D9D9D9"/>
              <w:left w:val="single" w:sz="4" w:color="D9D9D9"/>
              <w:bottom w:val="single" w:sz="4" w:color="D9D9D9"/>
              <w:right w:val="single" w:sz="4" w:color="D9D9D9"/>
            </w:tcBorders>
          </w:tcPr>
          <w:p>
            <w:pPr>
              <w:spacing w:after="100" w:before="100"/>
            </w:pPr>
            <w:r>
              <w:rPr>
                <w:b w:val="0"/>
                <w:sz w:val="22"/>
              </w:rPr>
              <w:t>Summe je Tag</w:t>
            </w:r>
          </w:p>
        </w:tc>
        <w:tc>
          <w:tcPr>
            <w:tcW w:type="dxa" w:w="2098"/>
            <w:tcBorders>
              <w:top w:val="single" w:sz="4" w:color="D9D9D9"/>
              <w:left w:val="single" w:sz="4" w:color="D9D9D9"/>
              <w:bottom w:val="single" w:sz="4" w:color="D9D9D9"/>
              <w:right w:val="single" w:sz="4" w:color="D9D9D9"/>
            </w:tcBorders>
          </w:tcPr>
          <w:p>
            <w:pPr>
              <w:spacing w:after="100" w:before="100"/>
            </w:pPr>
            <w:r>
              <w:rPr>
                <w:b w:val="0"/>
                <w:sz w:val="22"/>
              </w:rPr>
              <w:t>620,00 EUR</w:t>
            </w:r>
          </w:p>
        </w:tc>
        <w:tc>
          <w:tcPr>
            <w:tcW w:type="dxa" w:w="5046"/>
            <w:tcBorders>
              <w:top w:val="single" w:sz="4" w:color="D9D9D9"/>
              <w:left w:val="single" w:sz="4" w:color="D9D9D9"/>
              <w:bottom w:val="single" w:sz="4" w:color="D9D9D9"/>
              <w:right w:val="single" w:sz="4" w:color="D9D9D9"/>
            </w:tcBorders>
          </w:tcPr>
          <w:p>
            <w:pPr>
              <w:spacing w:after="100" w:before="100"/>
            </w:pPr>
            <w:r>
              <w:rPr>
                <w:b w:val="0"/>
                <w:sz w:val="22"/>
              </w:rPr>
              <w:t>Keine gesonderte Umsatzsteuer in den Komponenten.</w:t>
            </w:r>
          </w:p>
        </w:tc>
      </w:tr>
    </w:tbl>
    <w:p>
      <w:pPr>
        <w:widowControl/>
      </w:pPr>
      <w:r>
        <w:t>Der Betrag von 320,00 EUR ist nicht der Anschaffungspreis und auch keine Stundenabrechnung nach Motorlaufzeit. Eine Aufteilung in Abschreibung, Verzinsung und tatsächliche Reparaturkosten liegt der Projektmappe nicht bei. Wir können dazu eine gesonderte Aufstellung anfordern. Die 40,00 EUR sind nicht durch eine zusätzliche Fremdrechnung belegt.</w:t>
      </w:r>
    </w:p>
    <w:p>
      <w:r>
        <w:br w:type="page"/>
      </w:r>
    </w:p>
    <w:p>
      <w:pPr>
        <w:pStyle w:val="Heading1"/>
      </w:pPr>
      <w:r>
        <w:t>2 Erinnerung an den 06 und 07 September 2023</w:t>
      </w:r>
    </w:p>
    <w:p>
      <w:pPr>
        <w:widowControl/>
      </w:pPr>
      <w:r>
        <w:t>Am 06.09.2023 wurde im Bestandsbereich weiter zurückgebaut. Dies bestreiten wir nicht. Der für die Fundamentachse vorgesehene Bagger blieb nach unserer Erinnerung am offenen Graben. Der Fahrer half zeitweise beim Absperren und bei der Sicherung des Leitungsfundes. Einen damals gegengezeichneten Stundenzettel, der diese Arbeiten minutengenau von Wartezeit trennt, können wir heute nicht vorlegen.</w:t>
      </w:r>
    </w:p>
    <w:p>
      <w:pPr>
        <w:widowControl/>
      </w:pPr>
      <w:r>
        <w:t>Am 07.09.2023 warteten wir auf die Klärung, ob der Pumpenstrang in Betrieb bleiben musste. Es wurde Material umgelagert. Herr Albrecht erinnert eine Unterbrechung des Aushubs bis zur Entscheidung über den neuen Verlauf; Beginn und Ende einzelner Bewegungen des Baggers wurden im allgemeinen Bautagebuch nicht erfasst. Die Zuordnung des Strangs erfolgte erst am 11.09.2023. Daraus folgt aus unserer Sicht aber nicht, dass für jeden Zwischentag Gerätebereitschaft abgerechnet wurde.</w:t>
      </w:r>
    </w:p>
    <w:p>
      <w:pPr>
        <w:pStyle w:val="Heading1"/>
      </w:pPr>
      <w:r>
        <w:t>3 Abgrenzung und offene Unterlagen</w:t>
      </w:r>
    </w:p>
    <w:p>
      <w:pPr>
        <w:widowControl/>
      </w:pPr>
      <w:r>
        <w:t>Wir haben nur den 06. und 07.09.2023 angesetzt. Der Fahrer war nicht durchgehend untätig. Wir sehen Sicherungsarbeiten als Teil der angeordneten Bereithaltung; eine gesonderte Vergütungsvereinbarung hierzu können wir nicht beifügen. Über den Einwand, dass Vorhaltung oder Personal bereits in der Baustelleneinrichtung beziehungsweise in ausgeführten Positionen enthalten sein könnten, besteht keine Einigung.</w:t>
      </w:r>
    </w:p>
    <w:p>
      <w:pPr>
        <w:widowControl/>
      </w:pPr>
      <w:r>
        <w:t>Eine von uns vorgeschlagene hälftige Anerkennung soll nicht stillschweigend in die Schlussprüfung eingetragen werden. Bitte teilen Sie uns mit, welche Unterlagen Sie für eine weitere Prüfung benötigen. Unsere Erläuterung ersetzt weder den Auftrag N01.1 bis N01.4 noch dessen ausdrücklichen Vorbehalt zu N01.5.</w:t>
      </w:r>
    </w:p>
    <w:p>
      <w:pPr>
        <w:keepNext/>
      </w:pPr>
      <w:r>
        <w:t>gez. Torsten Albrecht, Bauleiter</w:t>
      </w:r>
    </w:p>
    <w:p>
      <w:r>
        <w:t>Bezug: Die genannten Nummern bezeichnen eigenständige Unterlagen der Projektmappe. Anlagen: keine.</w:t>
      </w:r>
    </w:p>
    <w:sectPr w:rsidR="00FC693F" w:rsidRPr="0006063C" w:rsidSect="00034616">
      <w:footerReference w:type="default" r:id="rId9"/>
      <w:pgSz w:w="11906" w:h="16838"/>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BH-21-04 · 47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80" w:line="252"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line="252"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40" w:line="252"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40" w:line="252"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40" w:line="252"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40" w:line="252"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40" w:line="252"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40" w:line="252"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40" w:line="252"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40" w:line="252"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2" w:lineRule="auto"/>
      <w:contextualSpacing/>
    </w:pPr>
    <w:rPr>
      <w:rFonts w:cstheme="majorBidi" w:ascii="Times New Roman" w:hAnsi="Times New Roman" w:eastAsia="Times New Roman" w:cs="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2"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40" w:line="252"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40" w:line="252"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40" w:line="252"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40" w:line="252"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40" w:line="252"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40" w:line="252"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40" w:line="252"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40" w:line="252"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40" w:line="252"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40" w:line="252"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40" w:line="252"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40" w:line="252"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40" w:line="252"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40" w:line="252"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40" w:line="252"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40" w:line="252"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40" w:line="252"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40" w:line="252"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14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40" w:line="252"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40" w:line="252"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Erläuterung der Gerätebereitschaft N01 5</dc:title>
  <dc:subject/>
  <dc:creator>Klotzkette</dc:creator>
  <cp:keywords/>
  <dc:description>generated by python-docx</dc:description>
  <cp:lastModifiedBy>Klotzkette</cp:lastModifiedBy>
  <cp:revision>1</cp:revision>
  <dcterms:created xsi:type="dcterms:W3CDTF">2026-09-24T00:00:00Z</dcterms:created>
  <dcterms:modified xsi:type="dcterms:W3CDTF">2026-09-24T00:00:00Z</dcterms:modified>
  <cp:category/>
  <dc:language>de-DE</dc:language>
</cp:coreProperties>
</file>