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Leinebau Hochbau GmbH · Torsten Albrecht</w:t>
      </w:r>
    </w:p>
    <w:p>
      <w:r>
        <w:t>Bürgerhaus Leinewinkel · Projekt BH-21-04</w:t>
        <w:br/>
        <w:t>An Bürgerhaus Leinewinkel e.V., Vorstand</w:t>
      </w:r>
    </w:p>
    <w:p>
      <w:r>
        <w:t>Einbeck, 30.09.2026</w:t>
      </w:r>
    </w:p>
    <w:p>
      <w:pPr>
        <w:pStyle w:val="Title"/>
      </w:pPr>
      <w:r>
        <w:t>Angebot zur Untersuchung des Rinnenanschlusses</w:t>
      </w:r>
    </w:p>
    <w:p>
      <w:pPr>
        <w:widowControl/>
      </w:pPr>
      <w:r>
        <w:t>Sehr geehrte Frau Döring, aufgrund der Begehung vom 17.09.2026 und Ihrer Bitte um einen begrenzten Untersuchungsvorschlag bieten wir die nachstehenden Arbeiten an. Das Angebot betrifft die Ermittlung des Zustands. Ein Sanierungserfolg und die Kostentragung für eine spätere Mangelbeseitigung werden damit nicht vereinbart.</w:t>
      </w:r>
    </w:p>
    <w:p>
      <w:pPr>
        <w:pStyle w:val="Heading1"/>
      </w:pPr>
      <w:r>
        <w:t>1 Untersuchung ohne Bauteilöffnung</w:t>
      </w:r>
    </w:p>
    <w:p>
      <w:pPr>
        <w:widowControl/>
      </w:pPr>
      <w:r>
        <w:t>Zum Pauschalpreis von 620,00 EUR netto nehmen wir die zugänglichen Höhen am letzten Rinnenelement, der Türschwelle und dem angrenzenden Belag mit Bezug auf einen gemeinsam festgelegten Punkt auf. Wir öffnen den herausnehmbaren Rost, dokumentieren vorhandenes Sediment und prüfen den zugänglichen Ablauf mit einer kleinen Kamera, soweit der Verlauf die Einführung erlaubt. Erst nach der Aufnahme wird ein begrenzter Wasserversuch mit protokollierter Menge durchgeführt.</w:t>
      </w:r>
    </w:p>
    <w:p>
      <w:pPr>
        <w:widowControl/>
      </w:pPr>
      <w:r>
        <w:t>Enthalten sind zwei Mitarbeiter für zusammen sechs Arbeitsstunden, Anfahrt und ein Protokoll mit Messpunktskizze. Eine flächige Reinigung, Druckspülung oder Demontage der Grundstücksleitung ist nicht enthalten. Ist die Leitung für die Kamera nicht passierbar, wird die Stelle dokumentiert und vor einem weiteren Eingriff Rücksprache gehalten. Aus dem bloßen Abbruch einer Kamerafahrt wird keine Ursache abgeleitet.</w:t>
      </w:r>
    </w:p>
    <w:p>
      <w:pPr>
        <w:pStyle w:val="Heading1"/>
      </w:pPr>
      <w:r>
        <w:t>2 Wahlposition zur örtlichen Öffnung</w:t>
      </w:r>
    </w:p>
    <w:p>
      <w:pPr>
        <w:widowControl/>
      </w:pPr>
      <w:r>
        <w:t>Eine zusätzliche Öffnung am Übergang Rinne und Grundstücksleitung bieten wir als Wahlposition zu 980,00 EUR netto an. Sie umfasst die Aufnahme von bis zu 1,00 m² Pflaster, vorsichtige Freilegung bis 0,60 m Tiefe und die anschließende Wiederherstellung desselben Bereichs. Eine Öffnung des Saalwandputzes oder der Sockelabdichtung ist davon nicht umfasst. Für einen solchen Eingriff benötigen wir einen gesonderten Umfang und eine abgestimmte Sicherung der Proben.</w:t>
      </w:r>
    </w:p>
    <w:p>
      <w:pPr>
        <w:widowControl/>
      </w:pPr>
      <w:r>
        <w:t>Die Wahlposition wird nur nach gesonderter schriftlicher Beauftragung ausgeführt. Bei unerwarteten Leitungen oder einer erforderlichen größeren Öffnung unterbrechen wir die Arbeiten. Die erstmalige Wiederherstellung im angebotenen Umfang ist enthalten; zusätzliche Sanierungsarbeiten sind es nicht.</w:t>
      </w:r>
    </w:p>
    <w:p>
      <w:r>
        <w:br w:type="page"/>
      </w:r>
    </w:p>
    <w:p>
      <w:pPr>
        <w:pStyle w:val="Heading1"/>
      </w:pPr>
      <w:r>
        <w:t>3 Preis und Abstimmung</w:t>
      </w:r>
    </w:p>
    <w:tbl>
      <w:tblPr>
        <w:tblW w:type="auto" w:w="0"/>
        <w:tblLayout w:type="fixed"/>
        <w:tblLook w:firstColumn="1" w:firstRow="1" w:lastColumn="0" w:lastRow="0" w:noHBand="0" w:noVBand="1" w:val="04A0"/>
      </w:tblPr>
      <w:tblGrid>
        <w:gridCol w:w="3969"/>
        <w:gridCol w:w="1871"/>
        <w:gridCol w:w="1871"/>
        <w:gridCol w:w="1814"/>
      </w:tblGrid>
      <w:tr>
        <w:trPr>
          <w:cantSplit/>
          <w:tblHeader/>
        </w:trPr>
        <w:tc>
          <w:tcPr>
            <w:tcW w:type="dxa" w:w="3969"/>
            <w:tcBorders>
              <w:top w:val="single" w:sz="4" w:color="D9D9D9"/>
              <w:left w:val="single" w:sz="4" w:color="D9D9D9"/>
              <w:bottom w:val="single" w:sz="4" w:color="D9D9D9"/>
              <w:right w:val="single" w:sz="4" w:color="D9D9D9"/>
            </w:tcBorders>
          </w:tcPr>
          <w:p>
            <w:pPr>
              <w:spacing w:after="100" w:before="100"/>
            </w:pPr>
            <w:r>
              <w:rPr>
                <w:b/>
                <w:sz w:val="22"/>
              </w:rPr>
              <w:t>Umfang</w:t>
            </w:r>
          </w:p>
        </w:tc>
        <w:tc>
          <w:tcPr>
            <w:tcW w:type="dxa" w:w="1871"/>
            <w:tcBorders>
              <w:top w:val="single" w:sz="4" w:color="D9D9D9"/>
              <w:left w:val="single" w:sz="4" w:color="D9D9D9"/>
              <w:bottom w:val="single" w:sz="4" w:color="D9D9D9"/>
              <w:right w:val="single" w:sz="4" w:color="D9D9D9"/>
            </w:tcBorders>
          </w:tcPr>
          <w:p>
            <w:pPr>
              <w:spacing w:after="100" w:before="100"/>
            </w:pPr>
            <w:r>
              <w:rPr>
                <w:b/>
                <w:sz w:val="22"/>
              </w:rPr>
              <w:t>Netto EUR</w:t>
            </w:r>
          </w:p>
        </w:tc>
        <w:tc>
          <w:tcPr>
            <w:tcW w:type="dxa" w:w="1871"/>
            <w:tcBorders>
              <w:top w:val="single" w:sz="4" w:color="D9D9D9"/>
              <w:left w:val="single" w:sz="4" w:color="D9D9D9"/>
              <w:bottom w:val="single" w:sz="4" w:color="D9D9D9"/>
              <w:right w:val="single" w:sz="4" w:color="D9D9D9"/>
            </w:tcBorders>
          </w:tcPr>
          <w:p>
            <w:pPr>
              <w:spacing w:after="100" w:before="100"/>
            </w:pPr>
            <w:r>
              <w:rPr>
                <w:b/>
                <w:sz w:val="22"/>
              </w:rPr>
              <w:t>Umsatzsteuer EUR</w:t>
            </w:r>
          </w:p>
        </w:tc>
        <w:tc>
          <w:tcPr>
            <w:tcW w:type="dxa" w:w="1814"/>
            <w:tcBorders>
              <w:top w:val="single" w:sz="4" w:color="D9D9D9"/>
              <w:left w:val="single" w:sz="4" w:color="D9D9D9"/>
              <w:bottom w:val="single" w:sz="4" w:color="D9D9D9"/>
              <w:right w:val="single" w:sz="4" w:color="D9D9D9"/>
            </w:tcBorders>
          </w:tcPr>
          <w:p>
            <w:pPr>
              <w:spacing w:after="100" w:before="100"/>
            </w:pPr>
            <w:r>
              <w:rPr>
                <w:b/>
                <w:sz w:val="22"/>
              </w:rPr>
              <w:t>Brutto EUR</w:t>
            </w:r>
          </w:p>
        </w:tc>
      </w:tr>
      <w:tr>
        <w:trPr>
          <w:cantSplit/>
        </w:trPr>
        <w:tc>
          <w:tcPr>
            <w:tcW w:type="dxa" w:w="3969"/>
            <w:tcBorders>
              <w:top w:val="single" w:sz="4" w:color="D9D9D9"/>
              <w:left w:val="single" w:sz="4" w:color="D9D9D9"/>
              <w:bottom w:val="single" w:sz="4" w:color="D9D9D9"/>
              <w:right w:val="single" w:sz="4" w:color="D9D9D9"/>
            </w:tcBorders>
          </w:tcPr>
          <w:p>
            <w:pPr>
              <w:spacing w:after="100" w:before="100"/>
            </w:pPr>
            <w:r>
              <w:rPr>
                <w:b w:val="0"/>
                <w:sz w:val="22"/>
              </w:rPr>
              <w:t>Nur Untersuchung nach Abschnitt 1</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620,00</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117,80</w:t>
            </w:r>
          </w:p>
        </w:tc>
        <w:tc>
          <w:tcPr>
            <w:tcW w:type="dxa" w:w="1814"/>
            <w:tcBorders>
              <w:top w:val="single" w:sz="4" w:color="D9D9D9"/>
              <w:left w:val="single" w:sz="4" w:color="D9D9D9"/>
              <w:bottom w:val="single" w:sz="4" w:color="D9D9D9"/>
              <w:right w:val="single" w:sz="4" w:color="D9D9D9"/>
            </w:tcBorders>
          </w:tcPr>
          <w:p>
            <w:pPr>
              <w:spacing w:after="100" w:before="100"/>
            </w:pPr>
            <w:r>
              <w:rPr>
                <w:b w:val="0"/>
                <w:sz w:val="22"/>
              </w:rPr>
              <w:t>737,80</w:t>
            </w:r>
          </w:p>
        </w:tc>
      </w:tr>
      <w:tr>
        <w:trPr>
          <w:cantSplit/>
        </w:trPr>
        <w:tc>
          <w:tcPr>
            <w:tcW w:type="dxa" w:w="3969"/>
            <w:tcBorders>
              <w:top w:val="single" w:sz="4" w:color="D9D9D9"/>
              <w:left w:val="single" w:sz="4" w:color="D9D9D9"/>
              <w:bottom w:val="single" w:sz="4" w:color="D9D9D9"/>
              <w:right w:val="single" w:sz="4" w:color="D9D9D9"/>
            </w:tcBorders>
          </w:tcPr>
          <w:p>
            <w:pPr>
              <w:spacing w:after="100" w:before="100"/>
            </w:pPr>
            <w:r>
              <w:rPr>
                <w:b w:val="0"/>
                <w:sz w:val="22"/>
              </w:rPr>
              <w:t>Zusätzliche Wahlposition nach Abschnitt 2</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980,00</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186,20</w:t>
            </w:r>
          </w:p>
        </w:tc>
        <w:tc>
          <w:tcPr>
            <w:tcW w:type="dxa" w:w="1814"/>
            <w:tcBorders>
              <w:top w:val="single" w:sz="4" w:color="D9D9D9"/>
              <w:left w:val="single" w:sz="4" w:color="D9D9D9"/>
              <w:bottom w:val="single" w:sz="4" w:color="D9D9D9"/>
              <w:right w:val="single" w:sz="4" w:color="D9D9D9"/>
            </w:tcBorders>
          </w:tcPr>
          <w:p>
            <w:pPr>
              <w:spacing w:after="100" w:before="100"/>
            </w:pPr>
            <w:r>
              <w:rPr>
                <w:b w:val="0"/>
                <w:sz w:val="22"/>
              </w:rPr>
              <w:t>1.166,20</w:t>
            </w:r>
          </w:p>
        </w:tc>
      </w:tr>
      <w:tr>
        <w:trPr>
          <w:cantSplit/>
        </w:trPr>
        <w:tc>
          <w:tcPr>
            <w:tcW w:type="dxa" w:w="3969"/>
            <w:tcBorders>
              <w:top w:val="single" w:sz="4" w:color="D9D9D9"/>
              <w:left w:val="single" w:sz="4" w:color="D9D9D9"/>
              <w:bottom w:val="single" w:sz="4" w:color="D9D9D9"/>
              <w:right w:val="single" w:sz="4" w:color="D9D9D9"/>
            </w:tcBorders>
          </w:tcPr>
          <w:p>
            <w:pPr>
              <w:spacing w:after="100" w:before="100"/>
            </w:pPr>
            <w:r>
              <w:rPr>
                <w:b w:val="0"/>
                <w:sz w:val="22"/>
              </w:rPr>
              <w:t>Beide Abschnitte zusammen</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1.600,00</w:t>
            </w:r>
          </w:p>
        </w:tc>
        <w:tc>
          <w:tcPr>
            <w:tcW w:type="dxa" w:w="1871"/>
            <w:tcBorders>
              <w:top w:val="single" w:sz="4" w:color="D9D9D9"/>
              <w:left w:val="single" w:sz="4" w:color="D9D9D9"/>
              <w:bottom w:val="single" w:sz="4" w:color="D9D9D9"/>
              <w:right w:val="single" w:sz="4" w:color="D9D9D9"/>
            </w:tcBorders>
          </w:tcPr>
          <w:p>
            <w:pPr>
              <w:spacing w:after="100" w:before="100"/>
            </w:pPr>
            <w:r>
              <w:rPr>
                <w:b w:val="0"/>
                <w:sz w:val="22"/>
              </w:rPr>
              <w:t>304,00</w:t>
            </w:r>
          </w:p>
        </w:tc>
        <w:tc>
          <w:tcPr>
            <w:tcW w:type="dxa" w:w="1814"/>
            <w:tcBorders>
              <w:top w:val="single" w:sz="4" w:color="D9D9D9"/>
              <w:left w:val="single" w:sz="4" w:color="D9D9D9"/>
              <w:bottom w:val="single" w:sz="4" w:color="D9D9D9"/>
              <w:right w:val="single" w:sz="4" w:color="D9D9D9"/>
            </w:tcBorders>
          </w:tcPr>
          <w:p>
            <w:pPr>
              <w:spacing w:after="100" w:before="100"/>
            </w:pPr>
            <w:r>
              <w:rPr>
                <w:b w:val="0"/>
                <w:sz w:val="22"/>
              </w:rPr>
              <w:t>1.904,00</w:t>
            </w:r>
          </w:p>
        </w:tc>
      </w:tr>
    </w:tbl>
    <w:p>
      <w:pPr>
        <w:widowControl/>
      </w:pPr>
      <w:r>
        <w:t>Wir schlagen den 09.10.2026 um 09:00 Uhr vor. Der Termin ist bis 06.10.2026 freizuhalten und danach erneut abzustimmen. Frau Hartwig und der Vertreter der Außenanlagen sollen Gelegenheit zur Teilnahme erhalten. Wir bitten den Verein um die Koordination. Bis zum heutigen Datum liegt uns keine Beauftragung vor.</w:t>
      </w:r>
    </w:p>
    <w:p>
      <w:pPr>
        <w:widowControl/>
      </w:pPr>
      <w:r>
        <w:t>Die Mitwirkung an der Untersuchung ist keine Erklärung zur Verursachung oder zur Übernahme aller Kosten. Wir halten unseren Hinweis auf die Bestandsfeuchte aufrecht. Zugleich wollen wir den Rinnenanschluss gemeinsam nachvollziehbar aufnehmen. Dieses Angebot gilt bis 14.10.2026.</w:t>
      </w:r>
    </w:p>
    <w:p>
      <w:pPr>
        <w:keepNext/>
      </w:pPr>
      <w:r>
        <w:t>gez. Torsten Albrecht, Bauleiter</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51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zur Untersuchung des Rinnenanschlusses</dc:title>
  <dc:subject/>
  <dc:creator>Klotzkette</dc:creator>
  <cp:keywords/>
  <dc:description>generated by python-docx</dc:description>
  <cp:lastModifiedBy>Klotzkette</cp:lastModifiedBy>
  <cp:revision>1</cp:revision>
  <dcterms:created xsi:type="dcterms:W3CDTF">2026-09-30T00:00:00Z</dcterms:created>
  <dcterms:modified xsi:type="dcterms:W3CDTF">2026-09-30T00:00:00Z</dcterms:modified>
  <cp:category/>
  <dc:language>de-DE</dc:language>
</cp:coreProperties>
</file>