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Hartwig Architektur · Lena Hartwig</w:t>
      </w:r>
    </w:p>
    <w:p>
      <w:r>
        <w:t>Bürgerhaus Leinewinkel · Projekt BH-21-04</w:t>
        <w:br/>
        <w:t>An Bürgerhaus Leinewinkel e.V., Vorstand</w:t>
      </w:r>
    </w:p>
    <w:p>
      <w:r>
        <w:t>Einbeck, 01.10.2026</w:t>
      </w:r>
    </w:p>
    <w:p>
      <w:pPr>
        <w:pStyle w:val="Title"/>
      </w:pPr>
      <w:r>
        <w:t>Leistungsnachweise und offene Unterlagen</w:t>
      </w:r>
    </w:p>
    <w:p>
      <w:pPr>
        <w:widowControl/>
      </w:pPr>
      <w:r>
        <w:t>Sehr geehrte Frau Döring, Sie baten um eine Erklärung, welche Arbeitsergebnisse hinter den Phasenbezeichnungen unseres Vertrags stehen. Wir ordnen die vorhandenen Dateien den tatsächlich bearbeiteten Themen zu. Das ist unsere Darstellung des Leistungsstands am 01.10.2026, keine neue Honorarrechnung und keine Erklärung Ihres Vorstands zur Abnahme.</w:t>
      </w:r>
    </w:p>
    <w:p>
      <w:pPr>
        <w:pStyle w:val="Heading1"/>
      </w:pPr>
      <w:r>
        <w:t>1 Planung bis zur Genehmigung</w:t>
      </w:r>
    </w:p>
    <w:p>
      <w:pPr>
        <w:widowControl/>
      </w:pPr>
      <w:r>
        <w:t>Aus dem Bedarfsbeschluss 01 ergaben sich Saal, Besprechungsraum und barrierearmer Zugang als Planungsaufgabe. Das Grundlagengespräch 03 und die Bestandsaufnahme 04 hielten die Untersuchungsstellen fest. Die Bestandsarbeiten sind nach Vertrag gesondert pauschal vergütet; sie werden nicht nochmals als Prozentanteil der Grundlagenermittlung berechnet.</w:t>
      </w:r>
    </w:p>
    <w:p>
      <w:pPr>
        <w:widowControl/>
      </w:pPr>
      <w:r>
        <w:t>In der Vorplanung wurden Süd- und Nordanbau anhand gleicher Nutzungsanforderungen verglichen (05). Die Entscheidung 06 gab den Nordanbau vor. Entwurf 07, Objektbeschreibung 08, Kostenberechnung 09 und Fachplanerabstimmung 10 bilden den anschließenden Stand. Die Kostenberechnung verwendete eine vorsichtige Steuerpauschale; die Kostenfeststellung 37 führt Gebühren später ohne Umsatzsteuer. Dieser Unterschied ist kein Wechsel der vertraglichen Honorarpauschale.</w:t>
      </w:r>
    </w:p>
    <w:p>
      <w:pPr>
        <w:widowControl/>
      </w:pPr>
      <w:r>
        <w:t>Die Genehmigungsplanung umfasst Antrag 11 und Bauvorlagen 12 bis 14. Auf die Nachforderung 15 wurde mit der Brandschutzergänzung 16 reagiert; 17 enthält den Genehmigungsbescheid. Der spätere Wunsch nach Gymnastiknutzung aus 29 wurde nicht als genehmigte Umplanung ausgeführt.</w:t>
      </w:r>
    </w:p>
    <w:p>
      <w:pPr>
        <w:pStyle w:val="Heading1"/>
      </w:pPr>
      <w:r>
        <w:t>2 Ausführung und Vergabe</w:t>
      </w:r>
    </w:p>
    <w:p>
      <w:pPr>
        <w:widowControl/>
      </w:pPr>
      <w:r>
        <w:t>Nach dem Abruf 18 wurden die Ausführungsstände AP-01 und D-12 (20 und 21) sowie der Rahmenterminplan 19 geführt. Die Portalansicht 22 unterscheidet die Freigaben. Der Koordinationsstand TGA-04 ersetzt nach unserer Ablage nicht D-12. Ob die abweichende Höheninformation bei der Ausführung hinreichend eindeutig aufgelöst wurde, soll anhand des tatsächlichen Anschlusses geprüft werden.</w:t>
      </w:r>
    </w:p>
    <w:p>
      <w:pPr>
        <w:widowControl/>
      </w:pPr>
      <w:r>
        <w:t>Das Leistungsverzeichnis 23 und die bepreiste Fassung 24 enthalten dieselben zwölf Positionen. Die Angebote 25 und 26 sind im Preisspiegel 27 positionsbezogen verglichen. 28 dokumentiert den Zuschlag. Die zusätzliche Pumpenleitung wurde über Nachtragsangebot 33 und Teilauftrag 34 behandelt. Die ausgeschlossene Gerätebereitschaft wird nicht durch die technische Prüfung der Leitungsarbeiten zu einem Auftrag.</w:t>
      </w:r>
    </w:p>
    <w:p>
      <w:r>
        <w:br w:type="page"/>
      </w:r>
    </w:p>
    <w:p>
      <w:pPr>
        <w:pStyle w:val="Heading1"/>
      </w:pPr>
      <w:r>
        <w:t>3 Überwachung und Betreuung</w:t>
      </w:r>
    </w:p>
    <w:p>
      <w:pPr>
        <w:widowControl/>
      </w:pPr>
      <w:r>
        <w:t>Bautagebuch 30, Aufmaß 35, Schlussrechnung 36 und Prüfung 37 zeigen den Bau- und Abrechnungsstand. Die gemeinsame Mengentabelle ersetzt keine Messung des Rinnengefälles. Zur Nachkontrolle von M-01 und M-02 enthält 39 einen Eintrag; ein eigenes Nachkontrollblatt vom 28.03.2024 ist in dieser Mappe nicht vorhanden. Die Abnahme 38 betrifft Los 1. Die gesonderte Abnahme unserer Planungs- und Überwachungsleistungen war bei Übergabe 39 noch vorgesehen.</w:t>
      </w:r>
    </w:p>
    <w:p>
      <w:pPr>
        <w:widowControl/>
      </w:pPr>
      <w:r>
        <w:t>Die Dateien 41 bis 44 dokumentieren Meldung, Foto, Begehung und laufende Betreuung. Die fachliche Zuordnung der heutigen Erscheinungen ist noch offen. Eine weitere Begehung vor den gewerkeweisen Kontrollterminen bleibt zu organisieren. Die Pauschale von 960,00 EUR netto für Phase 9 wird im bisherigen Kostenstand deshalb gesondert geführt; aus der einzelnen Begehung folgt kein automatischer voller Erledigungsgrad.</w:t>
      </w:r>
    </w:p>
    <w:p>
      <w:pPr>
        <w:pStyle w:val="Heading1"/>
      </w:pPr>
      <w:r>
        <w:t>4 Bitte um Abgleich</w:t>
      </w:r>
    </w:p>
    <w:p>
      <w:pPr>
        <w:widowControl/>
      </w:pPr>
      <w:r>
        <w:t>Bitte teilen Sie uns mit, ob die gesonderte Abnahmeerklärung oder weitere Einzelblätter in Ihrem Papierarchiv liegen. Unsere ergänzende Arbeitsmappe wird Honorarzuordnung, rechnerisch angesetzten Leistungsanteil und Belegstatus getrennt zeigen. Prozente sind Rechengrößen aus dem individuell vereinbarten Vertrag. Sie ersetzen weder eine Prüfung einzelner Leistungen noch eine Entscheidung über Fälligkeit, Mängel oder Zahlung.</w:t>
      </w:r>
    </w:p>
    <w:p>
      <w:pPr>
        <w:keepNext/>
      </w:pPr>
      <w:r>
        <w:t>gez. Lena Hartwig, Architektin</w:t>
      </w:r>
    </w:p>
    <w:p>
      <w:r>
        <w:t>Bezug: Die genannten Nummern bezeichnen eigenständige Unterlagen der Projektmappe. Anlagen: keine.</w:t>
      </w:r>
    </w:p>
    <w:sectPr w:rsidR="00FC693F" w:rsidRPr="0006063C" w:rsidSect="00034616">
      <w:footerReference w:type="default" r:id="rId9"/>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BH-21-04 · 52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line="252"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Leistungsnachweise und offene Unterlagen</dc:title>
  <dc:subject/>
  <dc:creator>Klotzkette</dc:creator>
  <cp:keywords/>
  <dc:description>generated by python-docx</dc:description>
  <cp:lastModifiedBy>Klotzkette</cp:lastModifiedBy>
  <cp:revision>1</cp:revision>
  <dcterms:created xsi:type="dcterms:W3CDTF">2026-10-01T00:00:00Z</dcterms:created>
  <dcterms:modified xsi:type="dcterms:W3CDTF">2026-10-01T00:00:00Z</dcterms:modified>
  <cp:category/>
  <dc:language>de-DE</dc:language>
</cp:coreProperties>
</file>