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Northeim | Fachbereich Hochbau</w:t>
      </w:r>
    </w:p>
    <w:p>
      <w:r>
        <w:t>25.09.2026, 11:20 Uhr | NO-FH26-L430</w:t>
      </w:r>
    </w:p>
    <w:p>
      <w:pPr>
        <w:pStyle w:val="Title"/>
      </w:pPr>
      <w:r>
        <w:t>Nachvollzug der Gerätedaten</w:t>
      </w:r>
    </w:p>
    <w:p>
      <w:pPr>
        <w:pStyle w:val="Heading1"/>
      </w:pPr>
      <w:r>
        <w:t>1 Auftrag und vorhandene Unterlagen</w:t>
      </w:r>
    </w:p>
    <w:p>
      <w:r>
        <w:t>Mara Seidel bat um eine nachvollziehbare Darstellung der bereits vorliegenden Gerätedaten für die Aktenvorlage. Grundlage sind das Leistungsverzeichnis, das Angebot Leinetal sowie die Auslegung vom 08.09.2026. Der bisherige Wertungsvermerk wird damit nicht ersetzt. Neue Herstellerunterlagen oder interne Kalkulationsaufzeichnungen des Bieters liegen mir heute nicht vor.</w:t>
      </w:r>
    </w:p>
    <w:p>
      <w:pPr>
        <w:pStyle w:val="Heading1"/>
      </w:pPr>
      <w:r>
        <w:t>2 Umrechnung des Betriebspunktes</w:t>
      </w:r>
    </w:p>
    <w:p>
      <w:r>
        <w:t>Der Luftvolumenstrom eines Strangs beträgt 6.000 m³/h. Durch Division durch 3.600 ergeben sich 1,6667 m³/s. Für E2 nennt der Hersteller für beide Ventilatoren zusammen 2,80 kW. Die Division 2,80 durch 1,6667 ergibt 1,68 kW/(m³/s). Bei E1 ergeben 3,15 kW am gleichen Betriebspunkt einen Wert von 1,89. Die im LV genannte Obergrenze beträgt 1,80. Der Nenner darf nicht nochmals verdoppelt werden; er ist nach den Vergabeunterlagen der Luftstrom eines Strangs.</w:t>
      </w:r>
    </w:p>
    <w:p>
      <w:pPr>
        <w:pStyle w:val="Heading1"/>
      </w:pPr>
      <w:r>
        <w:t>3 Gehäuse und Einbringung</w:t>
      </w:r>
    </w:p>
    <w:p>
      <w:r>
        <w:t>Das E2-Gehäuse bleibt mit 3.150 x 1.580 x 1.760 mm unter den vorgegebenen Höchstmaßen. Das größte Segment hat nach Herstellerangabe einen Einbringquerschnitt von 1.580 x 1.720 mm. Gegenüber der Öffnung von 1.700 x 2.100 mm ergeben sich rechnerisch 120 mm in der Breite und 380 mm in der Höhe. Diese Differenzen enthalten keine Prüfung von Rangierflächen, Schutzverpackung oder Türbeschlägen. Die Vorhaltung des Wartungsgangs von 0,90 m ist bei der späteren Ausführungsplanung am Aufstellort zu kontrollieren.</w:t>
      </w:r>
    </w:p>
    <w:p>
      <w:pPr>
        <w:pStyle w:val="Heading1"/>
      </w:pPr>
      <w:r>
        <w:t>4 Grenze der technischen Aussage</w:t>
      </w:r>
    </w:p>
    <w:p>
      <w:r>
        <w:t>Die Zahlen machen die unterschiedlichen Auswirkungen von E1 und E2 verständlich. Eine rechnerische Einhaltung der technischen Grenzwerte belegt nicht, welche Konfiguration am 31.08.2026 angeboten war. Die Herstellerangabe, dass beide Sätze dieselbe äußere Typbezeichnung haben, und die erst später dokumentierte Auswahl bleiben getrennt zu betrachten. Die Arbeitsmappe zum Nachvollzug führt deshalb keinen automatischen Zuschlagsstatus.</w:t>
      </w:r>
    </w:p>
    <w:p>
      <w:r>
        <w:t>Dipl.-Ing. Nora Brandt, Fachbereich Hochbau.</w:t>
      </w:r>
    </w:p>
    <w:sectPr w:rsidR="00FC693F" w:rsidRPr="0006063C" w:rsidSect="00034616">
      <w:footerReference w:type="default" r:id="rId9"/>
      <w:pgSz w:w="11906" w:h="16838"/>
      <w:pgMar w:top="1134" w:right="1191"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NO-FH26-L430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Nachvollzug der Gerätedaten</dc:title>
  <dc:subject/>
  <dc:creator>Klotzkette</dc:creator>
  <cp:keywords/>
  <dc:description>generated by python-docx</dc:description>
  <cp:lastModifiedBy>Klotzkette</cp:lastModifiedBy>
  <cp:revision>1</cp:revision>
  <dcterms:created xsi:type="dcterms:W3CDTF">2026-09-25T14:00:00Z</dcterms:created>
  <dcterms:modified xsi:type="dcterms:W3CDTF">2026-09-25T14:00:00Z</dcterms:modified>
  <cp:category/>
</cp:coreProperties>
</file>