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Rechtsanwältin Rosa Rhabarber</w:t>
        <w:br/>
        <w:t>Wacholdersteg 12, 97074 Würzburg</w:t>
      </w:r>
    </w:p>
    <w:p>
      <w:r>
        <w:t>Frankenbogen Kommunalversicherung VVaG</w:t>
        <w:br/>
        <w:t>Frau Gundula Funk, Kastanienbogen 7, 97070 Würzburg</w:t>
      </w:r>
    </w:p>
    <w:p>
      <w:r>
        <w:t>05.10.2026</w:t>
      </w:r>
    </w:p>
    <w:p>
      <w:pPr>
        <w:pStyle w:val="Title"/>
      </w:pPr>
      <w:r>
        <w:t>Wolkenbein gegen Stadt Lindenquell – Eigenforderung</w:t>
      </w:r>
    </w:p>
    <w:p>
      <w:r>
        <w:t>Sehr geehrte Frau Funk,</w:t>
      </w:r>
    </w:p>
    <w:p>
      <w:r>
        <w:t>ich vertrete ausschließlich Herrn Ottokar Wolkenbein. Unter Bezug auf Ihren Vorgang KH-26-914 konkretisiere ich seine Eigenforderung auf ein angemessenes Schmerzensgeld mit einer derzeitigen Wertvorstellung von 600 EUR sowie 36,20 EUR eigene Aufwendungen. Davon entfallen 5 EUR auf die Rezeptzuzahlung und 31,20 EUR auf die Fahrt zur hausärztlichen Kontrolle. Die Massagekosten von 79 EUR werden mit diesem Schreiben nicht weiterverfolgt. Eine Erklärung für Frau Pimpinella oder die Krankenkasse ist damit nicht verbunden.</w:t>
      </w:r>
    </w:p>
    <w:p>
      <w:r>
        <w:t>Die vorhandenen Berichte sind differenziert zu lesen. Herr Wolkenbein gab unmittelbar nach dem Zusammenstoß linksseitige Beschwerden an; die Ambulanz dokumentierte Druckschmerz und Ziehen bei Linksdrehung. Das Röntgen zeigte keine frische knöcherne Verletzung. Daraus folgt weder ein bewiesener bestimmter Distorsionsgrad noch die Widerlegung jeder Gesundheitsbeeinträchtigung. Die frühere rechtsbetonte Verspannung ist bekannt und muss mit dem zeitlichen Verlauf abgeglichen werden. Eine zusätzliche objektive Messung oder eine unfallanalytische Begutachtung behaupten wir nicht.</w:t>
      </w:r>
    </w:p>
    <w:p>
      <w:r>
        <w:t>Für die Taxifahrt liegt keine ärztliche Verordnung vor. Mein Mandant beschreibt noch Beschwerden beim Schulterblick; die Erforderlichkeit der Fahrt bleibt deshalb anhand der konkreten Situation und der erreichbaren Alternativen zu beurteilen. Ich bitte um Benennung Ihrer tatsächlichen Einwände zu dieser Position. Die Rechnung der allgemeinen Wellnessmassage reicht uns nach heutigem Stand nicht, um einen Heilbehandlungsbedarf substantiiert geltend zu machen.</w:t>
      </w:r>
    </w:p>
    <w:p>
      <w:r>
        <w:t>Bitte antworten Sie bis zum 12. Oktober 2026. Die bezahlten 1.785 EUR für die Fahrzeugreparatur werden nicht erneut verlangt. Die Kassenleistungen gehören ebenfalls nicht in den Zahlungsantrag meines Mandanten. Eine Erklärung zum Deckungsverhältnis der Stadt oder zu einer Rückversicherung ist nicht Gegenstand dieses Schreibens. Bis zur Abstimmung mit meinem Mandanten wird eine Klage lediglich vorbereitet.</w:t>
      </w:r>
    </w:p>
    <w:p>
      <w:r>
        <w:t>Mit freundlichen Grüßen</w:t>
        <w:br/>
        <w:t>Rosa Rhabarber</w:t>
        <w:br/>
        <w:t>Rechtsanwältin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Wolkenbein gegen Stadt Lindenquell – Eigenforderung</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