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Frankenbogen Kommunalversicherung VVaG</w:t>
        <w:br/>
        <w:t>Gundula Funk, Kastanienbogen 7, 97070 Würzburg</w:t>
      </w:r>
    </w:p>
    <w:p>
      <w:r>
        <w:t>Stadt Lindenquell, Fuhrparkleitung</w:t>
        <w:br/>
        <w:t>Frau Hildegard Knorz, Sonnenwinkel 8, 97299 Lindenquell</w:t>
      </w:r>
    </w:p>
    <w:p>
      <w:r>
        <w:t>05.10.2026</w:t>
      </w:r>
    </w:p>
    <w:p>
      <w:pPr>
        <w:pStyle w:val="Title"/>
      </w:pPr>
      <w:r>
        <w:t>Rangierunfall am Bürgerhaus – Stand der getrennten Forderungen</w:t>
      </w:r>
    </w:p>
    <w:p>
      <w:r>
        <w:t>Sehr geehrte Frau Knorz,</w:t>
      </w:r>
    </w:p>
    <w:p>
      <w:r>
        <w:t>wir bearbeiten den Vorgang KH-26-914 weiter unter dem Kfz-Haftpflichtvertrag des Transporters 17. Die 1.785 EUR für die Fahrzeugreparatur sind ausgezahlt. Die übrigen Forderungen werden getrennt geprüft. Herr Wolkenbein hat nun Rechtsanwältin Rhabarber eingeschaltet; sie beziffert seine weiterverfolgten eigenen Aufwendungen auf 36,20 EUR und nennt für das Schmerzensgeld 600 EUR. Die ursprünglich zusätzlich verlangten 79 EUR für die Massage verfolgt sie in ihrem heutigen Schreiben nicht weiter. Die Kassenforderung von 403,20 EUR und die 150 EUR von Frau Pimpinella bleiben gesonderte Eingänge.</w:t>
      </w:r>
    </w:p>
    <w:p>
      <w:r>
        <w:t>Bitte geben Sie uns bis zum 8. Oktober nur die noch fehlende tatsächliche Auskunft: Wie lange stand der Privatwagen bereits an der Lieferbucht, und gab es vor dem Zurücksetzen eine erkennbare Bewegung dieses Fahrzeugs? Falls Ihr Mitarbeiter dazu keine sichere Erinnerung besitzt, soll er gerade dies festhalten. Eine nachträglich geschätzte Anstoßgeschwindigkeit wäre ohne Grundlage nicht hilfreich. Von den Insassen erwähnte Fotos liegen der Schadenstelle bislang nicht vor; wir fordern sie unmittelbar dort an.</w:t>
      </w:r>
    </w:p>
    <w:p>
      <w:r>
        <w:t>Die medizinischen Berichte verbleiben in unserer Leistungsprüfung. Ihrer Fuhrparkstelle werden daraus keine Diagnosen oder Angaben über andere Behandlungen übermittelt. Für Ihre Stellungnahme zu Fahrtzweck und Ablauf werden diese Daten nicht benötigt. Bitte bewahren Sie die Unfallmeldung und die damalige Dienstanweisung auf, ohne den Originaltext durch eine nachträgliche Zusammenfassung zu ersetzen.</w:t>
      </w:r>
    </w:p>
    <w:p>
      <w:r>
        <w:t>Das Rechtsmandat von Frau Knister gilt allein für unseren Versicherer. Weder sie noch wir haben dadurch eine zusätzliche anwaltliche Vertretung der Stadt in einem späteren Prozess zugesagt. Sobald eine Klage zugestellt wird, benötigen wir die vollständige Zustellung einschließlich Datum und Umschlag, damit Zuständigkeit, Verteidigung und etwaige Fristen konkret abgestimmt werden können. Eine Klagezustellung ist uns gegenwärtig nicht bekannt. Aus diesem Zwischenstand folgt kein Anerkenntnis und keine weitere Zahlungsanweisung.</w:t>
      </w:r>
    </w:p>
    <w:p>
      <w:r>
        <w:t>Mit freundlichen Grüßen</w:t>
        <w:br/>
        <w:t>Gundula Funk</w:t>
        <w:br/>
        <w:t>Kommunalschäden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Rangierunfall am Bürgerhaus – Stand der getrennten Forderungen</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