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Klageentwurf Wolkenbein gegen Stadt Lindenquell</w:t>
      </w:r>
    </w:p>
    <w:p>
      <w:r>
        <w:t>ENTWURF VOM 5. OKTOBER 2026 – NICHT EINGEREICHT</w:t>
      </w:r>
    </w:p>
    <w:p>
      <w:r>
        <w:t>An das Amtsgericht Würzburg</w:t>
      </w:r>
    </w:p>
    <w:p>
      <w:r>
        <w:t>Klage des Herrn Ottokar Wolkenbein, Quittenbogen 19, 97299 Lindenquell,</w:t>
        <w:br/>
        <w:t>– Kläger –</w:t>
        <w:br/>
        <w:t>Prozessbevollmächtigte: Rechtsanwältin Rosa Rhabarber, Wacholdersteg 12, 97074 Würzburg,</w:t>
      </w:r>
    </w:p>
    <w:p>
      <w:r>
        <w:t>gegen die Stadt Lindenquell, vertreten durch die Erste Bürgermeisterin oder den Ersten Bürgermeister [Name vor Einreichung ergänzen], Sonnenwinkel 8, 97299 Lindenquell,</w:t>
        <w:br/>
        <w:t>– Beklagte –</w:t>
      </w:r>
    </w:p>
    <w:p>
      <w:r>
        <w:t>wegen Schadensersatzes und Schmerzensgeldes nach dem Verkehrsunfall vom 14. September 2026.</w:t>
        <w:br/>
        <w:t>Vorläufige Wertvorstellung: 636,20 EUR.</w:t>
      </w:r>
    </w:p>
    <w:p>
      <w:pPr>
        <w:pStyle w:val="Heading1"/>
      </w:pPr>
      <w:r>
        <w:t>1. Anträge</w:t>
      </w:r>
    </w:p>
    <w:p>
      <w:r>
        <w:t>Der Kläger beantragt,</w:t>
      </w:r>
    </w:p>
    <w:p>
      <w:r>
        <w:t>1. die Beklagte zu verurteilen, an ihn ein angemessenes Schmerzensgeld zu zahlen, dessen Höhe in das Ermessen des Gerichts gestellt wird, wobei nach dem vorgetragenen Verlauf ein Betrag von mindestens 600 EUR für angemessen gehalten wird, nebst Zinsen in Höhe von fünf Prozentpunkten über dem Basiszinssatz seit dem Tag nach Zustellung der Klage;</w:t>
        <w:br/>
        <w:t>2. die Beklagte zu verurteilen, an ihn 36,20 EUR nebst Zinsen in Höhe von fünf Prozentpunkten über dem Basiszinssatz seit dem Tag nach Zustellung der Klage zu zahlen;</w:t>
        <w:br/>
        <w:t>3. der Beklagten die Kosten des Rechtsstreits aufzuerlegen.</w:t>
      </w:r>
    </w:p>
    <w:p>
      <w:r>
        <w:t>Die Klage erfasst allein die eigene Körper- und Gesundheitsbeeinträchtigung des Klägers und die zwei bezeichneten Aufwendungen. Der bezahlte Fahrzeugschaden, Leistungen der Krankenkasse, eine Eigenforderung der Beifahrerin und die privat gebuchte Massage sind nicht Gegenstand des Zahlungsbegehrens. Ein Feststellungsantrag wegen nicht konkret erkennbarer Dauerfolgen wird nicht gestellt. Über die tatsächliche Einreichung ist noch nicht entschieden.</w:t>
      </w:r>
    </w:p>
    <w:p>
      <w:pPr>
        <w:pStyle w:val="Heading1"/>
      </w:pPr>
      <w:r>
        <w:t>2. Zuständigkeit und Anspruchsgegnerin</w:t>
      </w:r>
    </w:p>
    <w:p>
      <w:r>
        <w:t>Der Kläger nimmt die Beklagte als Halterin des Transporters 17 aus §§ 7 Abs. 1, 11 StVG in Anspruch. Sie trägt Betriebskosten und Wartung und entscheidet über den Einsatz. Die Fahrt diente der Rückholung von Klapptischen nach einer privatrechtlichen Saalvermietung; ein Gefahrenabwehreinsatz lag nicht vor. Es wird keine Amtshaftungszuständigkeit allein aus der Eigenschaft der Beklagten als Stadt abgeleitet. Beweis: Fuhrparkauskunft vom 30. September, Anlage K2.</w:t>
      </w:r>
    </w:p>
    <w:p>
      <w:r>
        <w:t>Das Amtsgericht ist bei der beantragten Größenordnung nach § 23 Nr. 1 GVG sachlich zuständig. Der Anspruch wird aus dem Fahrzeugbetrieb, nicht aus einem Behandlungsvertrag oder Behandlungsfehler erhoben. Die besondere Zuweisung von Heilbehandlungsstreitigkeiten an das Landgericht ist daher nicht einschlägig. Unfallort und Sitz der Beklagten liegen im Bezirk Würzburg; die örtliche Zuständigkeit folgt aus §§ 12, 17, 32 ZPO und § 20 StVG. Der Entwurf richtet sich allein gegen die Stadt. Er behauptet keine unmittelbare Verpflichtung einer Ausgleichseinrichtung oder eines Rückversicherers gegenüber dem Kläger.</w:t>
      </w:r>
    </w:p>
    <w:p>
      <w:pPr>
        <w:pStyle w:val="Heading1"/>
      </w:pPr>
      <w:r>
        <w:t>3. Zusammenstoß und unmittelbare Beschwerden</w:t>
      </w:r>
    </w:p>
    <w:p>
      <w:r>
        <w:t>Am 14. September um 08:17 Uhr stand der Kläger angeschnallt am Steuer seines Kleinwagens auf dem öffentlich zugänglichen Vorplatz des Bürgerhauses. Der Fahrer der Beklagten, Balthasar Brumm, setzte den Transporter rückwärts aus der Lieferbucht und stieß mit der hinteren Ecke gegen die linke Vorderseite des stehenden Wagens. Beide Fahrzeuge kamen unmittelbar zum Stillstand. Eine bestimmte Anstoßgeschwindigkeit wird mangels Messung nicht behauptet. Beweis: Fahrerbericht, Anlage K1; Zeugnis Brumm, zu laden über den Bauhof der Beklagten, Sonnenwinkel 8.</w:t>
      </w:r>
    </w:p>
    <w:p>
      <w:r>
        <w:t>Die Zeugin Cosima Konfetti sah den bereits stehenden Privatwagen und das Rückwärtsfahren. Nach dem Kontakt legte der Kläger die Hand links an seinen Hals. Die Zeugin verstand eine Äußerung über ein Ziehen, konnte deren Zeitpunkt vor oder nach dem Bauhofanruf aber nicht sicher festlegen. Der Kläger hatte am Morgen nach eigener Erinnerung keine Beschwerden und bemerkte das linksseitige Ziehen erstmals nach dem Stoß. Beweis: Anlage K3; Zeugnis Cosima Konfetti, Holunderbogen 6, Lindenquell; persönliche Anhörung des Klägers und, soweit die gesetzlichen Voraussetzungen vorliegen, Parteivernehmung.</w:t>
      </w:r>
    </w:p>
    <w:p>
      <w:r>
        <w:t>Die Schilderung verlangt keine technische Rekonstruktion aus einer bloßen Größenangabe zum Fahrzeugschaden. Ebenso wird aus dem selbstständigen Aussteigen nicht auf Beschwerdefreiheit geschlossen. Die Beklagte kann den Betriebszusammenhang anhand des eigenen Fahrerberichts und der Fuhrparkunterlagen nachvollziehen.</w:t>
      </w:r>
    </w:p>
    <w:p>
      <w:pPr>
        <w:pStyle w:val="Heading1"/>
      </w:pPr>
      <w:r>
        <w:t>4. Verletzung und ursächlicher Zusammenhang</w:t>
      </w:r>
    </w:p>
    <w:p>
      <w:r>
        <w:t>In der Notaufnahme um 09:44 Uhr berichtete der Kläger von linksseitigem Nackenziehen mit drei Punkten auf einer Zehnerskala. Bei der klinischen Untersuchung gab er Druckschmerz an der linken paravertebralen Muskulatur und Ziehen bei Linksdrehung an. Neurologische Ausfälle oder eine knöcherne Mittelliniendruckdolenz wurden nicht festgestellt. Die Ambulanz dokumentierte eine Verdachtsdiagnose, keine gutachterlich gesicherte bestimmte Strukturverletzung. Beweis: Anlage K4; Zeugnis Dr. Walburga Zündel, Klinik am Lindenbogen, Lindenquell, nach Schweigepflichtentbindung des Klägers; medizinisches Sachverständigengutachten.</w:t>
      </w:r>
    </w:p>
    <w:p>
      <w:r>
        <w:t>Das Röntgen zeigte keine frische knöcherne Verletzung und geringe degenerative Veränderungen. Es beantwortet nicht abschließend die Frage nach einer vorübergehenden schmerzhaften muskulären Beeinträchtigung. Beweis: Radiologiebericht, Anlage K5; erforderlichenfalls Beiziehung der unter der Fallnummer A-260914-119 geführten Aufnahmen und sachverständige Bewertung.</w:t>
      </w:r>
    </w:p>
    <w:p>
      <w:r>
        <w:t>Die hausärztliche Kartei enthält eine rechtsbetonte Verspannung nach Gartenarbeit im August. Der Kläger verschweigt diesen Vorbefund nicht. Bei der Kontrolle am 22. September schilderte er linksseitiges Ziehen nach dem Septemberereignis, damals bereits weitgehend gebessert. Die Ärztin dokumentierte links noch einen angegebenen muskulären Druckschmerz. Der zeitnahe Chat hält die Entwicklung vom ersten Ziehen über Besserung bis zur Kontrolle fest. Er gibt eigene Angaben wieder und ist kein unabhängiges medizinisches Gutachten. Beweis: Anlagen K6 und K9; Zeugnis Dr. Adelgund Kicher, Schwalbenwinkel 3, Lindenquell, nach entsprechender Entbindung; medizinisches Sachverständigengutachten.</w:t>
      </w:r>
    </w:p>
    <w:p>
      <w:r>
        <w:t>Der Kläger behauptet eine unfallbedingte vorübergehende schmerzhafte Beeinträchtigung, nicht lediglich die Gefahr einer möglicherweise späteren Verletzung. Die haftungsbegründende Verletzung und ihre Ursächlichkeit sind nach § 286 ZPO zu beweisen. § 287 ZPO wird nicht benutzt, um eine fehlende Primärverletzung zu ersetzen. BGH, Urteil vom 17. September 2013 – VI ZR 95/13, Rn. 8 und 10–14, verlangt eine vollständige Würdigung der Beschwerden und ihrer Unfallbedingtheit: Der bloße Verdacht genügt nicht; sichtbare äußere Unfallspuren sind aber keine zwingende Voraussetzung. Der dortige Kassenregress wird nicht als Entscheidung über die hier beanspruchte konkrete Geldhöhe dargestellt.</w:t>
      </w:r>
    </w:p>
    <w:p>
      <w:pPr>
        <w:pStyle w:val="Heading1"/>
      </w:pPr>
      <w:r>
        <w:t>5. Schmerzensgeld und eigene Aufwendungen</w:t>
      </w:r>
    </w:p>
    <w:p>
      <w:r>
        <w:t>Der Kläger hält für das zeitnah dokumentierte Ziehen, die ärztliche Abklärung und die mehrtägige Beeinträchtigung ein einheitliches Schmerzensgeld von mindestens 600 EUR für angemessen. Er war nicht stationär aufgenommen, ist Rentner und macht weder Arbeitsunfähigkeit noch Verdienstausfall geltend. Eine bleibende Einschränkung wird nicht behauptet. Die Behandlung selbst ersetzt nicht den erforderlichen Nachweis einer Verletzung; entscheidend bleibt der geschilderte und unter Beweis gestellte Verlauf. Die Größenordnung ist keine aus einer anderen Entscheidung übernommene feste Schmerzensgeldtaxe.</w:t>
      </w:r>
    </w:p>
    <w:p>
      <w:r>
        <w:t>Die 5 EUR eigene Zuzahlung wurden für das am Unfalltag ärztlich rezeptierte Schmerzmittel entrichtet. Die Rezeptierung und die nach Patientenauskunft dreimalige Einnahme sind im Hausarztbericht festgehalten. Beweis: Anlagen K6 und K7. Der Kläger verlangt nur seinen eigenen Zahlbetrag, nicht den vom Kostenträger getragenen Arzneimittelpreis. Erhält die Krankenkasse weitere Ansprüche aus § 116 SGB X, entstehen dadurch keine zusätzlichen Eigenkosten des Klägers.</w:t>
      </w:r>
    </w:p>
    <w:p>
      <w:r>
        <w:t>Die 31,20 EUR betreffen zwei tatsächlich bezahlte Taxifahrten zur Verlaufskontrolle und zurück. Die Strecke, Uhrzeiten und Zahlung sind quittiert. Beweis: Anlage K8; Zeugnis Jette Wirbel, Wiesenbogen 5, Lindenquell. Der Kläger nahm das Taxi wegen des noch unangenehmen Schulterblicks. Der Wagen war wieder verfügbar, die Schwester stand nicht zur Verfügung. Der Weg mit öffentlichen Verkehrsmitteln hätte zusätzliche Fußwege verlangt; Gehunfähigkeit wird nicht behauptet. Beweis: ergänzende eigene Nachricht, Anlage K10; persönliche Anhörung; zur medizinischen Bedeutung des fortbestehenden Ziehens sachverständige Begutachtung.</w:t>
      </w:r>
    </w:p>
    <w:p>
      <w:r>
        <w:t>Die Taxifahrt war nicht ärztlich angeordnet. Der Kläger meint gleichwohl, dass eine kurze direkte Fahrt zur gebotenen Verlaufskontrolle in seiner damaligen Situation erforderlich und angemessen war. Sollte das Gericht eine günstigere zumutbare Alternative als ausreichend ansehen, ist diese Position gesondert zu würdigen. Die Ungewissheit über 31,20 EUR macht weder die Medikamentenzuzahlung noch den behaupteten Verletzungsverlauf gegenstandslos. Allgemeine Fahrtpauschalen oder weitere unbelegte Fahrten werden nicht verlangt.</w:t>
      </w:r>
    </w:p>
    <w:p>
      <w:pPr>
        <w:pStyle w:val="Heading1"/>
      </w:pPr>
      <w:r>
        <w:t>6. Abgrenzung und Einwendungen</w:t>
      </w:r>
    </w:p>
    <w:p>
      <w:r>
        <w:t>Die Reparatur von 1.785 EUR ist bereits bezahlt. Die Zahlung ist ausdrücklich auf den Sachschaden begrenzt und wird deshalb weder nochmals verlangt noch als Anerkenntnis der Körperverletzung behandelt. Beweis: Anlage K12. Die Beschwerde- und Untersuchungslage der Beifahrerin ist ein anderer Lebenssachverhalt. Aus ihrem unauffälligen Befund wird weder auf die Gesundheit des Klägers noch auf einen Anspruch in seinem Namen geschlossen.</w:t>
      </w:r>
    </w:p>
    <w:p>
      <w:r>
        <w:t>Soweit bei der Halterabwägung § 17 StVG einschlägig ist, sind nur feststehende unfallursächliche Umstände zu gewichten. Nach dem Fahrerbericht und der Zeugin stand der Wagen des Klägers bereits vor dem Rückwärtsfahren. Ein eigener Fahrfehler ist nicht ersichtlich. Der Kläger beansprucht volle Haftung der Beklagten wegen des nachgewiesenen Rückwärtsanstoßes; er setzt aber weder eine schematische Betriebsgefahrquote noch ohne Tatsachenvortrag ein unabwendbares Ereignis fest.</w:t>
      </w:r>
    </w:p>
    <w:p>
      <w:r>
        <w:t>Die Anspruchskonkretisierung an die Schadenstelle ist als Anlage K11 beigefügt. Der dortige Antworttermin ist bei Erstellung des Entwurfs nicht abgelaufen. Vorgerichtlicher Verzug und bereits angefallene Prozesskosten werden nicht behauptet. Die Zinsen werden nach §§ 291, 288 Abs. 1 Satz 2 BGB erst ab dem Tag nach der künftigen Klagezustellung beantragt.</w:t>
      </w:r>
    </w:p>
    <w:p>
      <w:r>
        <w:t>Rosa Rhabarber</w:t>
        <w:br/>
        <w:t>Rechtsanwältin – nicht eingereichter Entwurf</w:t>
      </w:r>
    </w:p>
    <w:p>
      <w:pPr>
        <w:pStyle w:val="Heading1"/>
      </w:pPr>
      <w:r>
        <w:t>7. Anlagenverzeichnis</w:t>
      </w:r>
    </w:p>
    <w:p>
      <w:r>
        <w:t>K1: Unfallmeldung des Fahrers vom 14. September 2026</w:t>
        <w:br/>
        <w:t>Datei: 02_Unfallmeldung.docx</w:t>
      </w:r>
    </w:p>
    <w:p>
      <w:r>
        <w:t>K2: Halterstellung und privatrechtlicher Fahrtzweck</w:t>
        <w:br/>
        <w:t>Datei: 03_Fuhrpark.docx</w:t>
      </w:r>
    </w:p>
    <w:p>
      <w:r>
        <w:t>K3: Wahrnehmungen der Zeugin Konfetti</w:t>
        <w:br/>
        <w:t>Datei: 04_Zeugin.eml</w:t>
      </w:r>
    </w:p>
    <w:p>
      <w:r>
        <w:t>K4: Zeitnahe klinische Beschwerdedokumentation</w:t>
        <w:br/>
        <w:t>Datei: 06_Ambulanz_Wolkenbein.docx</w:t>
      </w:r>
    </w:p>
    <w:p>
      <w:r>
        <w:t>K5: Röntgenbefund ohne frische knöcherne Verletzung</w:t>
        <w:br/>
        <w:t>Datei: 07_Radiologie.docx</w:t>
      </w:r>
    </w:p>
    <w:p>
      <w:r>
        <w:t>K6: Vorbefund, Verlauf und Rezeptierung</w:t>
        <w:br/>
        <w:t>Datei: 08_Hausarzt.docx</w:t>
      </w:r>
    </w:p>
    <w:p>
      <w:r>
        <w:t>K7: Bezahlte eigene Zuzahlung von 5 EUR</w:t>
        <w:br/>
        <w:t>Datei: 12a_Apotheke.docx</w:t>
      </w:r>
    </w:p>
    <w:p>
      <w:r>
        <w:t>K8: Bezahlte Fahrten zur Verlaufskontrolle über 31,20 EUR</w:t>
        <w:br/>
        <w:t>Datei: 12c_Taxi.docx</w:t>
      </w:r>
    </w:p>
    <w:p>
      <w:r>
        <w:t>K9: Zeitnahe eigene Nachrichten über den Verlauf</w:t>
        <w:br/>
        <w:t>Datei: 13_Chat_Insassen.txt</w:t>
      </w:r>
    </w:p>
    <w:p>
      <w:r>
        <w:t>K10: Ergänzende Angaben zu Beschwerden, Taxi und Klageumfang</w:t>
        <w:br/>
        <w:t>Datei: kommunikation-und-deckung/01_Wolkenbein_an_Anwaeltin.eml</w:t>
      </w:r>
    </w:p>
    <w:p>
      <w:r>
        <w:t>K11: Konkretisierung der beschränkten Eigenforderung</w:t>
        <w:br/>
        <w:t>Datei: kommunikation-und-deckung/03_Anspruch_Rhabarber.pdf</w:t>
      </w:r>
    </w:p>
    <w:p>
      <w:r>
        <w:t>K12: Bereits regulierter, getrennt zu behandelnder Fahrzeugschaden</w:t>
        <w:br/>
        <w:t>Datei: 16_Zahlung_Fahrzeug.txt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Klageentwurf Wolkenbein gegen Stadt Lindenquell</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