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w:t>
        <w:br/>
        <w:t>Mainlaubplatz 1, 97070 Würzburg</w:t>
      </w:r>
    </w:p>
    <w:p>
      <w:r>
        <w:t>An die Grab &amp; Grund Tiefbau GmbH</w:t>
        <w:br/>
        <w:t>zu Händen der Geschäftsführerin Ida Sauer</w:t>
        <w:br/>
        <w:t>Kieswindenweg 12, 97076 Würzburg</w:t>
      </w:r>
    </w:p>
    <w:p>
      <w:r>
        <w:t>02.10.2026</w:t>
      </w:r>
    </w:p>
    <w:p>
      <w:pPr>
        <w:pStyle w:val="Title"/>
      </w:pPr>
      <w:r>
        <w:t>Stadt Würzburg gegen Grab &amp; Grund Tiefbau GmbH – 4.236,40 EUR</w:t>
      </w:r>
    </w:p>
    <w:p>
      <w:r>
        <w:t>Sehr geehrte Frau Sauer,</w:t>
      </w:r>
    </w:p>
    <w:p>
      <w:r>
        <w:t>namens der Stadt Würzburg fordere ich Sie auf, die durch den Kanalbruch vom 7. September entstandenen Fremdkosten von 4.236,40 EUR bis zum 16. Oktober 2026 zu erstatten. Die vollständigen Rechnungen, Zahlungsbestätigungen und ergänzenden Auskünfte sind dieser Forderung zugeordnet. Die Zahlung wird an die Stadtkasse nach gesonderter Mitteilung des Kassenzeichens erbeten; dieses Schreiben enthält keine Änderung einer bestehenden Bankverbindung.</w:t>
      </w:r>
    </w:p>
    <w:p>
      <w:r>
        <w:t>Ihre Baggerschaufel traf den öffentlichen Hauptkanal. Die Stadt ist Eigentümerin und Betreiberin. Ihr Auftraggeber Faserfink Netz GmbH hat mit der Stadt keinen Reparaturvertrag über diese Beschädigung begründet. Die Forderung beruht auf der Verletzung städtischen Eigentums durch Ihre im Arbeitseinsatz eingesetzten Beschäftigten, insbesondere § 831 BGB in Verbindung mit § 823 Abs. 1 BGB. Ein Vertrag zwischen Stadt und Ihrem Unternehmen wird nicht behauptet.</w:t>
      </w:r>
    </w:p>
    <w:p>
      <w:r>
        <w:t>Der Plan war ausdrücklich als Näherungsangabe aus dem Jahr 1988 bezeichnet. Im Korridor von einem Meter beiderseits der Planachse sollten Sie den Verlauf vor Maschineneinsatz durch Handsuche feststellen. Ihr Polier bestätigt jetzt, dass nur bis etwa 70 bis 80 Zentimeter gesucht wurde, obwohl die Auskunft etwa 1,20 Meter Überdeckung nannte. Die seitliche Verschiebung um rund 60 Zentimeter lag weiterhin im bezeichneten Warnbereich. Der ungesicherte Planverlauf rechtfertigte deshalb keinen Übergang zum Bagger, bevor der Kanal tatsächlich gefunden war.</w:t>
      </w:r>
    </w:p>
    <w:p>
      <w:r>
        <w:t>Wir verlangen 3.284,40 EUR für die Reparatur und 952,00 EUR für die währenddessen notwendige Überleitung. Beide Beträge sind bezahlt. Die Stadt erhält aus diesen konkret zugeordneten öffentlichen Abwasserleistungen keine Vorsteuerentlastung. Es wurde nur der beschädigte Abschnitt gleichwertig wiederhergestellt. Der anfängliche Ansatz eigener Stunden von 336,00 EUR ist nicht Bestandteil dieser Zahlungsaufforderung. Die vorliegende Mischsatzrechnung trägt ohne weitere Aufbereitung keinen unveränderten zusätzlichen Zahlungsantrag; damit ist kein Erlass eines tatsächlich nachweisbaren anderen Anspruchs erklärt.</w:t>
      </w:r>
    </w:p>
    <w:p>
      <w:r>
        <w:t>Bitte benennen Sie konkret, welche Auswahl-, Unterweisungs- und Kontrollmaßnahmen Sie für die verantwortlichen Beschäftigten getroffen hatten, soweit Sie sich auf eine Entlastung nach § 831 BGB berufen. Die bloße Erfahrung des Poliers beantwortet diese Frage nicht vollständig. Wir sind bereit, die Lageunterlagen gemeinsam durchzugehen. Die ungefähre städtische Messung von 65 Zentimetern wird nicht als amtliche Neuvermessung ausgegeben. Sie rechtfertigt nach dem ausdrücklich mitgeteilten Suchkorridor aber keine pauschale Halbierung der Kosten.</w:t>
      </w:r>
    </w:p>
    <w:p>
      <w:r>
        <w:t>Mit freundlichen Grüßen</w:t>
        <w:br/>
        <w:t>Gertraud Holler</w:t>
        <w:br/>
        <w:t>Rechtsstelle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Stadt Würzburg gegen Grab &amp; Grund Tiefbau GmbH – 4.236,40 EUR</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