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Grab &amp; Grund Tiefbau GmbH</w:t>
        <w:br/>
        <w:t>Kieswindenweg 12, 97076 Würzburg</w:t>
        <w:br/>
        <w:t>Geschäftsführerin Ida Sauer</w:t>
      </w:r>
    </w:p>
    <w:p>
      <w:r>
        <w:t>An die Stadt Würzburg, Rechtsstelle</w:t>
        <w:br/>
        <w:t>zu Händen Gertraud Holler</w:t>
        <w:br/>
        <w:t>Mainlaubplatz 1, 97070 Würzburg</w:t>
      </w:r>
    </w:p>
    <w:p>
      <w:r>
        <w:t>05.10.2026</w:t>
      </w:r>
    </w:p>
    <w:p>
      <w:pPr>
        <w:pStyle w:val="Title"/>
      </w:pPr>
      <w:r>
        <w:t>Kanalschaden – Stellungnahme zur Zahlungsaufforderung</w:t>
      </w:r>
    </w:p>
    <w:p>
      <w:r>
        <w:t>Sehr geehrte Frau Holler,</w:t>
      </w:r>
    </w:p>
    <w:p>
      <w:r>
        <w:t>Ihre Zahlungsaufforderung vom 2. Oktober und die Kostenunterlagen liegen vor. Den Treffer unseres Baggers und die in Ihrem Schreiben genannten Rechnungsbeträge bestreiten wir nicht. Dass die Stadt tatsächlich bezahlt und für diese Leistungen keinen Vorsteuerabzug erhalten hat, können wir nicht aus eigenem Wissen bestätigen; die Kassenunterlagen sind dafür nachvollziehbar. Eine Zahlung ist bislang nicht erfolgt.</w:t>
      </w:r>
    </w:p>
    <w:p>
      <w:r>
        <w:t>Wir halten an unserem Einwand fest, dass die Abweichung des alten Lageplans zu dem Unfall beigetragen hat. Auch wenn ein Suchkorridor vermerkt war, erwarten wir von einem Leitungsbetreiber möglichst zuverlässige Bestandsdaten. Uns liegt kein vermessungstechnisch gesichertes neues Aufmaß vor. Wir sehen deshalb weiterhin einen erheblichen Eigenanteil der Stadt und würden einen Abschlag von 30 Prozent verlangen. Das ist unser Verhandlungsstand und keine durch ein Gutachten festgestellte Quote.</w:t>
      </w:r>
    </w:p>
    <w:p>
      <w:r>
        <w:t>Herr Kunkel hat seine ergänzende Darstellung abgegeben. Er war unser angestellter Polier und durfte Herrn Yilmaz Arbeitsanweisungen geben. Wir bestreiten seine Anweisung zur seitlichen Fortsetzung des maschinellen Aushubs nicht. Herr Yilmaz ist seit Februar bei uns angestellt; Herr Kunkel verfügt über langjährige Tiefbauerfahrung. Beide nahmen an betrieblichen Unterweisungen teil. Die Schulungsnachweise und unsere Kontrolldokumentation werden noch zusammengestellt. Mit dem bloßen Hinweis auf die Teilnahme kann ich derzeit keinen lückenlosen Entlastungsnachweis für den konkreten Einsatz vorlegen.</w:t>
      </w:r>
    </w:p>
    <w:p>
      <w:r>
        <w:t>Gegen die Beschränkung auf Fremdkosten haben wir keine Einwendung. Die ursprünglich genannten 336,00 EUR eigener Stadtstunden werden von uns nicht anerkannt. Wir bitten um Nachricht, ob die Stadt unter Berücksichtigung des Planversatzes zu einer abschließenden Einigung über 70 Prozent der Fremdkosten bereit wäre. Dies soll erst nach gesonderter Annahme einen Vergleich begründen. Es ist kein vorbehaltloses Anerkenntnis eines Teilbetrags und keine Zusage einer Versicherungsleistung.</w:t>
      </w:r>
    </w:p>
    <w:p>
      <w:r>
        <w:t>Mit freundlichen Grüßen</w:t>
        <w:br/>
        <w:t>Ida Sauer</w:t>
        <w:br/>
        <w:t>Geschäftsführerin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Kanalschaden – Stellungnahme zur Zahlungsaufforderung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