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Würzburg, Rechtsstelle, Mainlaubplatz 1, 97070 Würzburg</w:t>
      </w:r>
    </w:p>
    <w:p>
      <w:r>
        <w:t>Grab &amp; Grund Tiefbau GmbH, Geschäftsführerin Ida Sauer, Kieswindenweg 12, 97076 Würzburg</w:t>
      </w:r>
    </w:p>
    <w:p>
      <w:r>
        <w:t>05.10.2026</w:t>
      </w:r>
    </w:p>
    <w:p>
      <w:pPr>
        <w:pStyle w:val="Title"/>
      </w:pPr>
      <w:r>
        <w:t>Schlehenfächerweg – Forderung, Deckungsnachweis und Kürzungseinwand</w:t>
      </w:r>
    </w:p>
    <w:p>
      <w:r>
        <w:t>Sehr geehrte Frau Sauer,</w:t>
      </w:r>
    </w:p>
    <w:p>
      <w:r>
        <w:t>ergänzend zu unserem Schreiben vom 2. Oktober bleiben wir bei der Forderung über 4.236,40 EUR. Die Zahlungsfrist bis 16. Oktober besteht unverändert. Der Betrag setzt sich aus 3.284,40 EUR bezahlter Reparatur und 952,00 EUR notwendiger Überleitung zusammen. Die zuvor diskutierten 336,00 EUR eigener Stunden sind nicht Gegenstand dieser Forderung. Bitte führen Sie diese Abgrenzung auch in Ihrer Schadenmeldung an einen Versicherer fort.</w:t>
      </w:r>
    </w:p>
    <w:p>
      <w:r>
        <w:t>Ihre vorgeschlagene Kürzung um 30 Prozent entspricht 1.270,92 EUR. Es verblieben 2.965,48 EUR. Das ist bislang ein Verhandlungsvorschlag, kein nachgewiesener Mitverantwortungsanteil und kein von uns angenommener Vergleich. Unsere Leitungsauskunft wies auf den alten Planstand, die ungefähre Tiefe und einen Suchkorridor von einem Meter zu beiden Seiten hin. Der nach der Schilderung Ihres Poliers um etwa 60 Zentimeter versetzte Aushub lag innerhalb dieses Bereichs. Die tatsächliche Lage war vor dem maschinellen Fortsetzen nicht positiv festgestellt.</w:t>
      </w:r>
    </w:p>
    <w:p>
      <w:r>
        <w:t>Wir bitten um konkrete Erläuterung, welche unserer Angaben trotz des ausdrücklichen Unsicherheitshinweises eine sichere Freigabe zum Baggereinsatz vermittelt haben soll. Ein fehlendes neues Aufmaß ist kein Ersatz für diese Darlegung. Ebenso benötigen wir für den von Ihnen angekündigten Entlastungsnachweis die auf diesen Arbeitsgang bezogenen Anweisungen, Kontrollen und Zuständigkeiten. Eine allgemeine Erklärung, Ihre Beschäftigten seien erfahren, beantwortet die tatsächliche Durchführung noch nicht.</w:t>
      </w:r>
    </w:p>
    <w:p>
      <w:r>
        <w:t>Sollte Ihre Betriebshaftpflicht die Bearbeitung übernehmen, teilen Sie uns bitte Versicherer und Schadennummer mit. Wir werden daraus nicht ohne zusätzliche rechtliche Grundlage einen unmittelbaren Anspruch gegen den Versicherer ableiten. Unsere Schuldnerin bleibt nach dem bisherigen Sachstand Ihr Unternehmen. Die Beschädigung einer städtischen Anlage wird auch nicht dadurch zu einem Haftpflichtschaden der Stadt, dass diese Mitglied einer kommunalen Versicherung ist.</w:t>
      </w:r>
    </w:p>
    <w:p>
      <w:r>
        <w:t>Wir sind bereit, konkrete technische Einwendungen zu besprechen. Eine Zahlung oder ein rechtsverbindliches Teilanerkenntnis liegt bislang nicht vor. Bitte übersenden Sie keine Unterlagen zu anderen Baustellen, soweit sie die behauptete Aufsicht und Arbeitsorganisation im vorliegenden Vorgang nicht betreffen. Wir sichern den Reparatur- und Zahlungsnachweis und erwarten Ihre Antwort innerhalb der bestehenden Frist.</w:t>
      </w:r>
    </w:p>
    <w:p>
      <w:r>
        <w:t>Mit freundlichen Grüßen</w:t>
        <w:br/>
        <w:t>Gertraud Holler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Schlehenfächerweg – Forderung, Deckungsnachweis und Kürzungseinwand</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