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Grab &amp; Grund Tiefbau GmbH, Kieswindenweg 12, 97076 Würzburg</w:t>
      </w:r>
    </w:p>
    <w:p>
      <w:r>
        <w:t>Felsenranke Versicherung AG, Haftpflichtschäden, Buchenquastweg 4, 97076 Würzburg</w:t>
      </w:r>
    </w:p>
    <w:p>
      <w:r>
        <w:t>05.10.2026</w:t>
      </w:r>
    </w:p>
    <w:p>
      <w:pPr>
        <w:pStyle w:val="Title"/>
      </w:pPr>
      <w:r>
        <w:t>Bagger-Schaden Stadt Würzburg – Bitte um Prüfung des Kürzungsvorschlags</w:t>
      </w:r>
    </w:p>
    <w:p>
      <w:r>
        <w:t>Sehr geehrte Frau Bitterlich,</w:t>
      </w:r>
    </w:p>
    <w:p>
      <w:r>
        <w:t>wir bitten um Bearbeitung des am 7. September entstandenen Schadens am öffentlichen Abwasserkanal am Schlehenfächerweg. Unsere heutige Meldung erfolgt nach interner Zuordnung der Police BT-2026-441. Bislang hatte die Stadt von uns weder einen Versicherungsschein noch eine Deckungszusage erhalten. Eine eigene Haftpflichtdeckung der Stadt ist für unsere Verantwortung nicht maßgeblich. Bitte bestätigen Sie die Schadennummer und den Umfang Ihrer Abwehrprüfung.</w:t>
      </w:r>
    </w:p>
    <w:p>
      <w:r>
        <w:t>Die Stadt verlangt 4.236,40 EUR aus zwei bezahlten Fremdrechnungen. Unsere frühere Annahme, zusätzlich seien noch 336,00 EUR städtische Verwaltungsstunden eingeklagt, trifft nach dem neuen Schreiben nicht zu. Wir haben eine Kürzung um 30 Prozent angeregt, weil der Plan von 1988 den Kanal nur ungefähr abbildete. Einen Vergleich haben wir nicht geschlossen. Auch ein vorbehaltloses Anerkenntnis des verbleibenden Betrags von 2.965,48 EUR war damit nicht verbunden. Es wurde nichts gezahlt.</w:t>
      </w:r>
    </w:p>
    <w:p>
      <w:r>
        <w:t>Nach der inzwischen eingeholten Auskunft des Poliers stand die Suchanweisung auf derselben Seite wie der Planhinweis. Seine frühere Erinnerung an eine nicht gelesene Rückseite soll deshalb nicht aufrechterhalten werden. Der Suchschlitz war erst 70 bis 80 Zentimeter tief. Der Polier ließ danach ungefähr 60 Zentimeter seitlich mit dem Bagger weiterarbeiten; der Kanal wurde getroffen. Wir können nicht erklären, er habe außerhalb des bezeichneten Suchkorridors gearbeitet. Ob eine Handsuche unter den damaligen Bodenverhältnissen ohne zusätzliche Sicherung möglich gewesen wäre, ist noch zu klären.</w:t>
      </w:r>
    </w:p>
    <w:p>
      <w:r>
        <w:t>Beide eingesetzten Personen sind unsere Arbeitnehmer. Wir stellen gerade Unterweisungen und Kontrollunterlagen zusammen. Eine konkrete persönliche Anweisung von mir zum maschinellen Fortsetzen gab es nicht. Den gesetzlichen Entlastungsnachweis möchten wir nicht allein mit meiner Abwesenheit führen. Bitte sagen Sie uns, welche organisatorischen Unterlagen für die Prüfung erforderlich sind, und unterscheiden Sie dabei zwischen allgemeiner Schulung und tatsächlicher Kontrolle dieses Arbeitsgangs.</w:t>
      </w:r>
    </w:p>
    <w:p>
      <w:r>
        <w:t>Unsere Auftraggeberin war Faserfink Netz GmbH, nicht die Stadt. Einen Werklohnanspruch oder eine Aufrechnung gegen die Stadt gibt es daher nicht. Vor einer weiteren Antwort möchten wir Ihre Einschätzung zu Haftung, Mitverantwortung und Selbstbehalt erhalten. Die Zahlungsfrist der Stadt läuft bis 16. Oktober.</w:t>
      </w:r>
    </w:p>
    <w:p>
      <w:r>
        <w:t>Mit freundlichen Grüßen</w:t>
        <w:br/>
        <w:t>Ida Sauer</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Bagger-Schaden Stadt Würzburg – Bitte um Prüfung des Kürzungsvorschlags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