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Dr. Nadia Wolfram</w:t>
        <w:br/>
        <w:t>Birkenfächerweg 2, 97076 Würzburg</w:t>
      </w:r>
    </w:p>
    <w:p>
      <w:r>
        <w:t>An die Stadt Würzburg, Rechtsstelle</w:t>
        <w:br/>
        <w:t>Mainlaubplatz 1, 97070 Würzburg</w:t>
      </w:r>
    </w:p>
    <w:p>
      <w:r>
        <w:t>02.10.2026</w:t>
      </w:r>
    </w:p>
    <w:p>
      <w:pPr>
        <w:pStyle w:val="Title"/>
      </w:pPr>
      <w:r>
        <w:t>Nouri – Beschränkung und neue Belege</w:t>
      </w:r>
    </w:p>
    <w:p>
      <w:r>
        <w:t>Sehr geehrte Frau Holler,</w:t>
      </w:r>
    </w:p>
    <w:p>
      <w:r>
        <w:t>ich vertrete Herrn Samir Nouri. Seine bisherige Forderung von 238,00 EUR wird nach ergänzender Sachverhaltsklärung auf 119,00 EUR beschränkt. Die gewöhnliche Stornierungsfrist endete am 17. Juni um 18:00 Uhr. Mein Mandant ließ sie aus Hoffnung auf die behördliche Korrektur verstreichen. Ein erst am nächsten Morgen geführtes Gespräch kann diese frühere Entscheidung nicht verursacht haben.</w:t>
      </w:r>
    </w:p>
    <w:p>
      <w:r>
        <w:t>Frau Storch hat jetzt den gespeicherten Nachrichtenaustausch vom 18. Juni nachgereicht. Sie räumte um 08:46 Uhr ausnahmsweise eine letzte Frist bis 12:00 Uhr für die Rückzahlung von 119,00 EUR ein. Herr Nouri nahm die Nachricht zur Kenntnis und rief um 09:35 Uhr Frau Merk an. Deren zwischenzeitliche Präzisierung bestätigt eine bestimmte Erlaubnisankündigung für Freitag, obwohl weder die Vorlage noch eine verbindliche Unterschriftszusage vorlagen. Mein Mandant konnte deshalb noch nach diesem Telefonat den jetzt verlangten Mehrbetrag vermeiden. Bei wahrheitsgemäßer Information hätte er die Kulanzfrist genutzt.</w:t>
      </w:r>
    </w:p>
    <w:p>
      <w:r>
        <w:t>Wir verlangen nicht die Wagenmiete allein deshalb, weil der Stand ausfiel. Die Vergleichsrechnung lautet: tatsächliche Belastung 238,00 EUR; Belastung bei rechtzeitiger Nutzung des konkreten Kulanzangebots 119,00 EUR; verbleibender Unterschied 119,00 EUR. Einen Gewinn aus ungesicherten Kundenumsätzen behaupten wir nicht. Eine weitere Erlaubnis hätte die Sachgebietsleitung erteilen müssen. Frau Merk konnte keine wirksame Erlaubnis durch ihr Telefonat ersetzen; sie musste jedoch richtig über den Bearbeitungsstand informieren.</w:t>
      </w:r>
    </w:p>
    <w:p>
      <w:r>
        <w:t>Bitte berücksichtigen Sie diese neue Berechnung bei Ihrer Antwort bis 12. Oktober. Ein möglicher Eilantrag und die Frage eines früheren Tätigwerdens dürfen nicht losgelöst davon betrachtet werden, dass mein Mandant ausdrücklich auf die richtige Veranstaltung und die drohenden Kosten hingewiesen und dann eine bestimmte Erledigungsauskunft erhalten hatte. Wir sind für eine wirtschaftliche Erledigung des geringfügigen Anspruchs offen. Weitere Anwaltskosten machen wir mit diesem Schreiben nicht geltend.</w:t>
      </w:r>
    </w:p>
    <w:p>
      <w:r>
        <w:t>Mit freundlichen Grüßen</w:t>
        <w:br/>
        <w:t>Dr. Nadia Wolfram</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 – Beschränkung und neue Belege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