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Rechtsstelle</w:t>
        <w:br/>
        <w:t>Mainlaubplatz 1, 97070 Würzburg</w:t>
      </w:r>
    </w:p>
    <w:p>
      <w:r>
        <w:t>An Rechtsanwältin Dr. Nadia Wolfram</w:t>
        <w:br/>
        <w:t>Birkenfächerweg 2, 97076 Würzburg</w:t>
      </w:r>
    </w:p>
    <w:p>
      <w:r>
        <w:t>05.10.2026</w:t>
      </w:r>
    </w:p>
    <w:p>
      <w:pPr>
        <w:pStyle w:val="Title"/>
      </w:pPr>
      <w:r>
        <w:t>Nouri – Stellungnahme zum nachgereichten Kulanzangebot</w:t>
      </w:r>
    </w:p>
    <w:p>
      <w:r>
        <w:t>Sehr geehrte Frau Dr. Wolfram,</w:t>
      </w:r>
    </w:p>
    <w:p>
      <w:r>
        <w:t>das Schreiben vom 2. Oktober und die nachgereichten Nachrichten haben wir erhalten. Wir behandeln die Forderung nun in Höhe von 119,00 EUR. Die ursprünglichen Unterlagen werden nicht ausgetauscht; die spätere Konkretisierung ist als Ergänzung zur Akte genommen. Die neuen Angaben der Vermieterin sind mit der tatsächlichen Absage am 19. Juni vereinbar, bedürfen aber gegebenenfalls des Nachweises durch den gespeicherten Verlauf.</w:t>
      </w:r>
    </w:p>
    <w:p>
      <w:r>
        <w:t>Frau Merk hat uns den Inhalt ihrer erneuten Erinnerung bestätigt. Eine Erlaubnis konnte sie nicht selbst erteilen. Die Sachgebietsleitung war zuständig; deren positive interne Vorbewertung ersetzte keinen Bescheid. Eine verbindliche Genehmigungsentscheidung für den nächsten Tag lag im Zeitpunkt des Telefonats nicht vor. Eine derart bestimmte Auskunft hätte deshalb nicht gegeben werden dürfen.</w:t>
      </w:r>
    </w:p>
    <w:p>
      <w:r>
        <w:t>Ob daraus gerade der geltend gemachte Betrag folgt, ist damit noch nicht abschließend entschieden. Herr Nouri wusste seit dem 15. Juni vom Datumsfehler und kannte die Befristung der Veranstaltung. Er hatte selbst gerichtlichen Eilrechtsschutz angesprochen. Aus städtischer Sicht bleibt zu klären, ob früheres Nachfassen bei der Sachgebietsleitung oder ein rechtzeitiger Eilantrag den Ausfall verhindert hätte und ob er tatsächlich am Donnerstagvormittag zur Aufgabe des Vorhabens bereit gewesen wäre. Die bereits zuvor verstrichene reguläre Frist ist für diese innere Entscheidung ein gegenläufiger Gesichtspunkt.</w:t>
      </w:r>
    </w:p>
    <w:p>
      <w:r>
        <w:t>Wir stellen nicht in Abrede, dass bei erfolgreicher Stornierung bis zur nachträglich gewährten Frist 119,00 EUR zurückgezahlt worden wären, sofern Frau Storch das Angebot in der wiedergegebenen Form bestätigt. Die Frage der haftungsrechtlichen Zurechnung bleibt davon zu unterscheiden. Eine Zahlung oder einen Vergleich können wir heute noch nicht zusagen. Die abschließende Antwort soll innerhalb der bis 12. Oktober laufenden Frist erfolgen.</w:t>
      </w:r>
    </w:p>
    <w:p>
      <w:r>
        <w:t>Mit freundlichen Grüßen</w:t>
        <w:br/>
        <w:t>Gertraud Holler</w:t>
        <w:br/>
        <w:t>Rechtsstelle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Nouri – Stellungnahme zum nachgereichten Kulanzangebot</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