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Rechtsstelle, Mainlaubplatz 1, 97070 Würzburg</w:t>
      </w:r>
    </w:p>
    <w:p>
      <w:r>
        <w:t>Kommunalversicherung Mainbogen VVaG, Kornfalterweg 6, 97076 Würzburg</w:t>
      </w:r>
    </w:p>
    <w:p>
      <w:r>
        <w:t>05.10.2026</w:t>
      </w:r>
    </w:p>
    <w:p>
      <w:pPr>
        <w:pStyle w:val="Title"/>
      </w:pPr>
      <w:r>
        <w:t>Nouri – Nachmeldung eines Auskunfts- und Bearbeitungsfehlers</w:t>
      </w:r>
    </w:p>
    <w:p>
      <w:r>
        <w:t>Sehr geehrter Herr Hasenwinkel,</w:t>
      </w:r>
    </w:p>
    <w:p>
      <w:r>
        <w:t>die Vertragsverwaltung hat uns heute Nachmittag erstmals den Einschluss reiner Vermögensschäden im Vertrag KM-W-2026 zugänglich gemacht. Wir melden hiermit den Vorgang Nouri nach. Die ursprüngliche Forderung betrug 238,00 EUR Wagenmiete. Nach der ergänzten Prüfung verlangt der anwaltliche Entwurf nur noch 119,00 EUR, die durch die nicht genutzte Sonderkulanz am 18. Juni zusätzlich verloren gegangen sein sollen. Eine Erstattung wurde nicht zugesagt und nicht gezahlt.</w:t>
      </w:r>
    </w:p>
    <w:p>
      <w:r>
        <w:t>Der Antrag auf Sondernutzung betraf den 20. und 21. Juni, im Register standen versehentlich Julidaten. Neben diesem Bearbeitungsfehler geht es um eine telefonische Auskunft am Morgen des 18. Juni. Die reguläre Stornofrist war am Vorabend bereits abgelaufen. Eine erst an diesem Morgen erteilte Auskunft kann diese frühere Entscheidung nicht verursacht haben. Neu belegt ist aber ein gesondertes Kulanzangebot der Vermieterin bis 12:00 Uhr. Ob die Auskunft dazu führte, dieses konkrete Angebot ungenutzt verstreichen zu lassen, ist gesondert zu prüfen.</w:t>
      </w:r>
    </w:p>
    <w:p>
      <w:r>
        <w:t>Bitte behandeln Sie die Kulanz nicht als nachträglich umgeschriebene Mietbedingung. Die Vermieterin hat den damaligen Nachrichtenverlauf erst jetzt in einer E-Mail wiedergegeben. Eine technische Originalausleitung des Geschäftstelefons liegt nicht in der Akte. Die Sachbearbeiterin erinnert sich an eine rechtzeitige Vorlage, Herr Nouri an eine zugesagte Entscheidung am Folgetag. Eine gleichzeitige Telefonnotiz gibt es nicht.</w:t>
      </w:r>
    </w:p>
    <w:p>
      <w:r>
        <w:t>Wir bitten um Mitteilung zu Abwehrdeckung und Selbstbehalt. Der geringe Forderungsbetrag macht die Amtshaftungsprüfung nicht entbehrlich, rechtfertigt aber auch keinen aufwendigen Rundlauf durch weitere Versicherungsstellen. Ein Vergleich wäre wirtschaftlich denkbar, darf jedoch nicht als Eingeständnis eines von vornherein gebundenen Genehmigungsanspruchs formuliert werden. Für die Sondernutzung war die Stadt selbst zuständig; ein Landkreis hatte keine Entscheidung zu treffen.</w:t>
      </w:r>
    </w:p>
    <w:p>
      <w:r>
        <w:t>Die Antwortfrist endet am 12. Oktober. Bitte teilen Sie uns bis 8. Oktober mit, ob Sie zusätzliche Belege benötigen. Den rechtlichen Entwurf erarbeitet die für die Stadt beauftragte Kanzlei. Das ursprüngliche Mandat wird nicht auf einen Prozess oder ein Schuldanerkenntnis erweitert.</w:t>
      </w:r>
    </w:p>
    <w:p>
      <w:r>
        <w:t>Mit freundlichen Grüßen</w:t>
        <w:br/>
        <w:t>Gertraud Holler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 – Nachmeldung eines Auskunfts- und Bearbeitungsfehlers</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