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Kommunalversicherung Mainbogen VVaG, Kornfalterweg 6, 97076 Würzburg</w:t>
      </w:r>
    </w:p>
    <w:p>
      <w:r>
        <w:t>Stadt Würzburg, Rechtsstelle, Mainlaubplatz 1, 97070 Würzburg</w:t>
      </w:r>
    </w:p>
    <w:p>
      <w:r>
        <w:t>05.10.2026</w:t>
      </w:r>
    </w:p>
    <w:p>
      <w:pPr>
        <w:pStyle w:val="Title"/>
      </w:pPr>
      <w:r>
        <w:t>Nouri – Deckung, Kleinschaden und zweifache Kausalitätsprüfung</w:t>
      </w:r>
    </w:p>
    <w:p>
      <w:r>
        <w:t>Sehr geehrte Frau Holler,</w:t>
      </w:r>
    </w:p>
    <w:p>
      <w:r>
        <w:t>wir erfassen den Vorgang unter MB-W-26238. Der uns heute zugeordnete Vertragsauszug sieht für reine Vermögensschäden aus fahrlässiger Amtspflichtverletzung eine Versicherungssumme von 1.000.000,00 EUR und einen Selbstbehalt von 1.000,00 EUR je Schadenereignis vor. Die Hauptforderung von 119,00 EUR liegt vollständig innerhalb dieses Selbstbehalts. Erforderliche Abwehrkosten werden gesondert behandelt. Ob diese entstehen sollen, ist im Verhältnis zu einer begründeten Einigung wirtschaftlich abzuwägen.</w:t>
      </w:r>
    </w:p>
    <w:p>
      <w:r>
        <w:t>Wir bestätigen keine gesetzliche Haftung allein aufgrund des falschen Registereintrags. Für den zusätzlichen Verlust aus der Kulanz ist die tatsächliche Entscheidungssituation am 18. Juni maßgeblich. Bitte klären Sie, ob Herr Nouri das bis 12:00 Uhr geltende Angebot kannte, wann er mit Ihrer Mitarbeiterin sprach und weshalb er nach dem Gespräch nicht absagte. Die positive interne Einschätzung des Vorhabens belegt noch keine erteilte Erlaubnis. Umgekehrt darf der Vorgang nicht allein mit dem Satz abgelehnt werden, es habe keinen unterschriebenen Bescheid gegeben: Auch eine konkrete unrichtige Auskunft kann für eine Vermögensentscheidung erheblich sein.</w:t>
      </w:r>
    </w:p>
    <w:p>
      <w:r>
        <w:t>Der Anspruchsteller hatte Eilrechtsschutz erwähnt. Für § 839 Abs. 3 BGB reicht dieser Hinweis als Abwehrargument noch nicht. Es muss eine zumutbare Maßnahme ermittelt werden, die den gerade streitigen Verlust hätte verhindern können. Ein fiktiver Eilbeschluss binnen weniger Stunden darf dabei nicht selbstverständlich unterstellt werden. Diese Frage soll die Kanzlei ausdrücklich im Verhältnis zur eigenständigen Kulanzentscheidung behandeln.</w:t>
      </w:r>
    </w:p>
    <w:p>
      <w:r>
        <w:t>Eine Meldung des Einzelfalls an einen Rückversicherer ist nicht vorgesehen. Der erfasste Rückdeckungsvertrag verlangt personenbezogene Einzelberichte erst ab einer erwarteten Belastung von 250.000,00 EUR; ein möglicher Anspruch von 119,00 EUR fällt nicht darunter. Auch eine behauptete Serienzugehörigkeit wird ohne passende Klausel und tatsächliche Prüfung nicht gebildet.</w:t>
      </w:r>
    </w:p>
    <w:p>
      <w:r>
        <w:t>Bitte legen Sie uns eine knappe Entscheidungsvorlage mit Beweisrisiko, möglichem Einigungsbetrag und Kostenvergleich vor. Eine Zahlung soll, falls beschlossen, ihren konkreten Anlass bezeichnen und keine pauschale Rechtsbehauptung zur gesamten behördlichen Bearbeitung enthalten. Die Frist der Gegenseite bleibt durch unseren internen Schriftwechsel unberührt.</w:t>
      </w:r>
    </w:p>
    <w:p>
      <w:r>
        <w:t>Mit freundlichen Grüßen</w:t>
        <w:br/>
        <w:t>Vitus Hasenwinkel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 – Deckung, Kleinschaden und zweifache Kausalitätsprüfung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